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18457116"/>
        <w:docPartObj>
          <w:docPartGallery w:val="Cover Pages"/>
          <w:docPartUnique/>
        </w:docPartObj>
      </w:sdtPr>
      <w:sdtEndPr/>
      <w:sdtContent>
        <w:p w14:paraId="1A3C1230" w14:textId="63DEA55D" w:rsidR="00C81500" w:rsidRDefault="00C81500" w:rsidP="007541A9">
          <w:pPr>
            <w:spacing w:line="240" w:lineRule="auto"/>
            <w:jc w:val="both"/>
          </w:pPr>
          <w:r>
            <w:rPr>
              <w:noProof/>
              <w:lang w:eastAsia="es-ES"/>
            </w:rPr>
            <mc:AlternateContent>
              <mc:Choice Requires="wpg">
                <w:drawing>
                  <wp:anchor distT="0" distB="0" distL="114300" distR="114300" simplePos="0" relativeHeight="251664384" behindDoc="0" locked="0" layoutInCell="1" allowOverlap="1" wp14:anchorId="0D9285FF" wp14:editId="5F9C0145">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ADEA322" id="Grupo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2" o:title="" recolor="t" rotate="t" type="frame"/>
                    </v:rect>
                    <w10:wrap anchorx="page" anchory="page"/>
                  </v:group>
                </w:pict>
              </mc:Fallback>
            </mc:AlternateContent>
          </w:r>
        </w:p>
        <w:p w14:paraId="7C749756" w14:textId="6F7ADF56" w:rsidR="00C81500" w:rsidRDefault="0070290C" w:rsidP="3E59E649">
          <w:pPr>
            <w:spacing w:line="240" w:lineRule="auto"/>
            <w:jc w:val="both"/>
          </w:pPr>
          <w:r>
            <w:rPr>
              <w:noProof/>
              <w:lang w:eastAsia="es-ES"/>
            </w:rPr>
            <mc:AlternateContent>
              <mc:Choice Requires="wps">
                <w:drawing>
                  <wp:anchor distT="0" distB="0" distL="114300" distR="114300" simplePos="0" relativeHeight="251658240" behindDoc="0" locked="0" layoutInCell="1" allowOverlap="1" wp14:anchorId="25C72CAC" wp14:editId="61EA23F5">
                    <wp:simplePos x="0" y="0"/>
                    <wp:positionH relativeFrom="page">
                      <wp:posOffset>220717</wp:posOffset>
                    </wp:positionH>
                    <wp:positionV relativeFrom="page">
                      <wp:posOffset>3200400</wp:posOffset>
                    </wp:positionV>
                    <wp:extent cx="7315200" cy="2601310"/>
                    <wp:effectExtent l="0" t="0" r="0" b="889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260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5AF2E" w14:textId="2FFD2C1A" w:rsidR="000606DB" w:rsidRPr="0070290C" w:rsidRDefault="0070290C">
                                <w:pPr>
                                  <w:jc w:val="right"/>
                                  <w:rPr>
                                    <w:rFonts w:asciiTheme="majorHAnsi" w:eastAsiaTheme="majorEastAsia" w:hAnsiTheme="majorHAnsi" w:cstheme="majorBidi"/>
                                    <w:b/>
                                    <w:bCs/>
                                    <w:color w:val="365F91" w:themeColor="accent1" w:themeShade="BF"/>
                                    <w:sz w:val="96"/>
                                    <w:szCs w:val="28"/>
                                  </w:rPr>
                                </w:pPr>
                                <w:r w:rsidRPr="0070290C">
                                  <w:rPr>
                                    <w:rFonts w:asciiTheme="majorHAnsi" w:eastAsiaTheme="majorEastAsia" w:hAnsiTheme="majorHAnsi" w:cstheme="majorBidi"/>
                                    <w:b/>
                                    <w:bCs/>
                                    <w:color w:val="365F91" w:themeColor="accent1" w:themeShade="BF"/>
                                    <w:sz w:val="96"/>
                                    <w:szCs w:val="28"/>
                                  </w:rPr>
                                  <w:t>Anexos</w:t>
                                </w:r>
                              </w:p>
                              <w:p w14:paraId="3CF2D48B" w14:textId="0C3ADD02" w:rsidR="0070290C" w:rsidRPr="0070290C" w:rsidRDefault="0070290C">
                                <w:pPr>
                                  <w:jc w:val="right"/>
                                  <w:rPr>
                                    <w:color w:val="4F81BD" w:themeColor="accent1"/>
                                    <w:sz w:val="48"/>
                                    <w:szCs w:val="64"/>
                                  </w:rPr>
                                </w:pPr>
                                <w:r w:rsidRPr="0070290C">
                                  <w:rPr>
                                    <w:rFonts w:asciiTheme="majorHAnsi" w:eastAsiaTheme="majorEastAsia" w:hAnsiTheme="majorHAnsi" w:cstheme="majorBidi"/>
                                    <w:b/>
                                    <w:bCs/>
                                    <w:color w:val="365F91" w:themeColor="accent1" w:themeShade="BF"/>
                                    <w:sz w:val="28"/>
                                    <w:szCs w:val="28"/>
                                  </w:rPr>
                                  <w:t>PLAN ESTRATÉGICO</w:t>
                                </w:r>
                                <w:r w:rsidR="003E27E7">
                                  <w:rPr>
                                    <w:rFonts w:asciiTheme="majorHAnsi" w:eastAsiaTheme="majorEastAsia" w:hAnsiTheme="majorHAnsi" w:cstheme="majorBidi"/>
                                    <w:b/>
                                    <w:bCs/>
                                    <w:color w:val="365F91" w:themeColor="accent1" w:themeShade="BF"/>
                                    <w:sz w:val="28"/>
                                    <w:szCs w:val="28"/>
                                  </w:rPr>
                                  <w:t xml:space="preserve"> DE</w:t>
                                </w:r>
                                <w:r w:rsidRPr="0070290C">
                                  <w:rPr>
                                    <w:rFonts w:asciiTheme="majorHAnsi" w:eastAsiaTheme="majorEastAsia" w:hAnsiTheme="majorHAnsi" w:cstheme="majorBidi"/>
                                    <w:b/>
                                    <w:bCs/>
                                    <w:color w:val="365F91" w:themeColor="accent1" w:themeShade="BF"/>
                                    <w:sz w:val="28"/>
                                    <w:szCs w:val="28"/>
                                  </w:rPr>
                                  <w:t xml:space="preserve"> ECONOMÍA CIRCULAR Y BIOECONOMIA 2024</w:t>
                                </w:r>
                              </w:p>
                              <w:sdt>
                                <w:sdtPr>
                                  <w:rPr>
                                    <w:color w:val="404040" w:themeColor="text1" w:themeTint="BF"/>
                                    <w:sz w:val="36"/>
                                    <w:szCs w:val="36"/>
                                  </w:rPr>
                                  <w:alias w:val="Subtítulo"/>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507E597E" w14:textId="3C52877A" w:rsidR="000606DB" w:rsidRDefault="000606DB">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5C72CAC" id="_x0000_t202" coordsize="21600,21600" o:spt="202" path="m,l,21600r21600,l21600,xe">
                    <v:stroke joinstyle="miter"/>
                    <v:path gradientshapeok="t" o:connecttype="rect"/>
                  </v:shapetype>
                  <v:shape id="Cuadro de texto 154" o:spid="_x0000_s1026" type="#_x0000_t202" style="position:absolute;left:0;text-align:left;margin-left:17.4pt;margin-top:252pt;width:8in;height:204.8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" filled="f" stroked="f" strokeweight=".5pt">
                    <v:textbox inset="126pt,0,54pt,0">
                      <w:txbxContent>
                        <w:p w14:paraId="52E5AF2E" w14:textId="2FFD2C1A" w:rsidR="000606DB" w:rsidRPr="0070290C" w:rsidRDefault="0070290C">
                          <w:pPr>
                            <w:jc w:val="right"/>
                            <w:rPr>
                              <w:rFonts w:asciiTheme="majorHAnsi" w:eastAsiaTheme="majorEastAsia" w:hAnsiTheme="majorHAnsi" w:cstheme="majorBidi"/>
                              <w:b/>
                              <w:bCs/>
                              <w:color w:val="365F91" w:themeColor="accent1" w:themeShade="BF"/>
                              <w:sz w:val="96"/>
                              <w:szCs w:val="28"/>
                            </w:rPr>
                          </w:pPr>
                          <w:r w:rsidRPr="0070290C">
                            <w:rPr>
                              <w:rFonts w:asciiTheme="majorHAnsi" w:eastAsiaTheme="majorEastAsia" w:hAnsiTheme="majorHAnsi" w:cstheme="majorBidi"/>
                              <w:b/>
                              <w:bCs/>
                              <w:color w:val="365F91" w:themeColor="accent1" w:themeShade="BF"/>
                              <w:sz w:val="96"/>
                              <w:szCs w:val="28"/>
                            </w:rPr>
                            <w:t>Anexos</w:t>
                          </w:r>
                        </w:p>
                        <w:p w14:paraId="3CF2D48B" w14:textId="0C3ADD02" w:rsidR="0070290C" w:rsidRPr="0070290C" w:rsidRDefault="0070290C">
                          <w:pPr>
                            <w:jc w:val="right"/>
                            <w:rPr>
                              <w:color w:val="4F81BD" w:themeColor="accent1"/>
                              <w:sz w:val="48"/>
                              <w:szCs w:val="64"/>
                            </w:rPr>
                          </w:pPr>
                          <w:r w:rsidRPr="0070290C">
                            <w:rPr>
                              <w:rFonts w:asciiTheme="majorHAnsi" w:eastAsiaTheme="majorEastAsia" w:hAnsiTheme="majorHAnsi" w:cstheme="majorBidi"/>
                              <w:b/>
                              <w:bCs/>
                              <w:color w:val="365F91" w:themeColor="accent1" w:themeShade="BF"/>
                              <w:sz w:val="28"/>
                              <w:szCs w:val="28"/>
                            </w:rPr>
                            <w:t>PLAN ESTRATÉGICO</w:t>
                          </w:r>
                          <w:r w:rsidR="003E27E7">
                            <w:rPr>
                              <w:rFonts w:asciiTheme="majorHAnsi" w:eastAsiaTheme="majorEastAsia" w:hAnsiTheme="majorHAnsi" w:cstheme="majorBidi"/>
                              <w:b/>
                              <w:bCs/>
                              <w:color w:val="365F91" w:themeColor="accent1" w:themeShade="BF"/>
                              <w:sz w:val="28"/>
                              <w:szCs w:val="28"/>
                            </w:rPr>
                            <w:t xml:space="preserve"> DE</w:t>
                          </w:r>
                          <w:r w:rsidRPr="0070290C">
                            <w:rPr>
                              <w:rFonts w:asciiTheme="majorHAnsi" w:eastAsiaTheme="majorEastAsia" w:hAnsiTheme="majorHAnsi" w:cstheme="majorBidi"/>
                              <w:b/>
                              <w:bCs/>
                              <w:color w:val="365F91" w:themeColor="accent1" w:themeShade="BF"/>
                              <w:sz w:val="28"/>
                              <w:szCs w:val="28"/>
                            </w:rPr>
                            <w:t xml:space="preserve"> ECONOMÍA CIRCULAR Y BIOECONOMIA 2024</w:t>
                          </w:r>
                        </w:p>
                        <w:sdt>
                          <w:sdtPr>
                            <w:rPr>
                              <w:color w:val="404040" w:themeColor="text1" w:themeTint="BF"/>
                              <w:sz w:val="36"/>
                              <w:szCs w:val="36"/>
                            </w:rPr>
                            <w:alias w:val="Subtítulo"/>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507E597E" w14:textId="3C52877A" w:rsidR="000606DB" w:rsidRDefault="000606DB">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C81500">
            <w:br w:type="page"/>
          </w:r>
        </w:p>
      </w:sdtContent>
    </w:sdt>
    <w:p w14:paraId="6E7E9448" w14:textId="5FA9BE9D" w:rsidR="00312320" w:rsidRPr="005C3D91" w:rsidRDefault="00312320" w:rsidP="007541A9">
      <w:pPr>
        <w:pStyle w:val="1izenburua"/>
        <w:spacing w:line="240" w:lineRule="auto"/>
        <w:jc w:val="both"/>
        <w:rPr>
          <w:sz w:val="36"/>
        </w:rPr>
      </w:pPr>
      <w:bookmarkStart w:id="1" w:name="_Toc72771493"/>
      <w:r w:rsidRPr="005C3D91">
        <w:rPr>
          <w:sz w:val="36"/>
        </w:rPr>
        <w:lastRenderedPageBreak/>
        <w:t xml:space="preserve">ANEXO 1. </w:t>
      </w:r>
      <w:r w:rsidRPr="00312320">
        <w:rPr>
          <w:sz w:val="36"/>
        </w:rPr>
        <w:t>Diagnóstico de la Economía circular en Euskadi</w:t>
      </w:r>
    </w:p>
    <w:p w14:paraId="090B714A" w14:textId="77777777" w:rsidR="00312320" w:rsidRDefault="00312320" w:rsidP="007541A9">
      <w:pPr>
        <w:spacing w:line="240" w:lineRule="auto"/>
        <w:jc w:val="both"/>
      </w:pPr>
    </w:p>
    <w:p w14:paraId="41A91C7B" w14:textId="56B1AA82" w:rsidR="009911C8" w:rsidRDefault="009911C8" w:rsidP="007541A9">
      <w:pPr>
        <w:spacing w:line="240" w:lineRule="auto"/>
        <w:jc w:val="both"/>
      </w:pPr>
      <w:r w:rsidRPr="009911C8">
        <w:t>En las últimas décadas, la presión que el uso intensivo de los recursos materiales mundiales está ejerciendo sobre el planeta amenaza la seguridad de los suministros. El actual modelo de producción y consumo requiere profundos cambios que mejoren la eficiencia en la utilización de los recursos y, al mismo tiempo, sigan garantizando el crecimiento económico y el empleo</w:t>
      </w:r>
      <w:r>
        <w:t>.</w:t>
      </w:r>
    </w:p>
    <w:p w14:paraId="78E714F7" w14:textId="77FE7E42" w:rsidR="009911C8" w:rsidRDefault="00E718B2" w:rsidP="007541A9">
      <w:pPr>
        <w:spacing w:line="240" w:lineRule="auto"/>
        <w:jc w:val="both"/>
      </w:pPr>
      <w:r w:rsidRPr="00E718B2">
        <w:t>La Unión Europea, ya en 2011, con la Iniciativa emblemática denominada Una Europa que utilice eficazmente los recursos, destacó que los recursos naturales sustentan el funcionamiento de la economía europea y su calidad de vida. Dicha iniciativa crea un marco político</w:t>
      </w:r>
      <w:r w:rsidR="00C835F5">
        <w:t xml:space="preserve"> </w:t>
      </w:r>
      <w:r w:rsidR="00C835F5" w:rsidRPr="00C835F5">
        <w:t>destinado a apoyar el cambio hacia una economía eficiente en el uso de los recursos y de baja emisión de carbono que ayude a:</w:t>
      </w:r>
    </w:p>
    <w:p w14:paraId="0C4BAB4A" w14:textId="77777777" w:rsidR="00963C2B" w:rsidRDefault="00963C2B" w:rsidP="007541A9">
      <w:pPr>
        <w:spacing w:line="240" w:lineRule="auto"/>
        <w:jc w:val="both"/>
      </w:pPr>
      <w:r>
        <w:t>Objetivos Iniciativa emblemática UE</w:t>
      </w:r>
    </w:p>
    <w:p w14:paraId="4DF6DB46" w14:textId="52DC5D7D" w:rsidR="00963C2B" w:rsidRDefault="00963C2B" w:rsidP="007541A9">
      <w:pPr>
        <w:pStyle w:val="Zerrenda-paragrafoa"/>
        <w:numPr>
          <w:ilvl w:val="0"/>
          <w:numId w:val="50"/>
        </w:numPr>
        <w:spacing w:before="60" w:line="240" w:lineRule="auto"/>
        <w:ind w:left="1066" w:hanging="709"/>
        <w:contextualSpacing w:val="0"/>
        <w:jc w:val="both"/>
      </w:pPr>
      <w:r>
        <w:t>Mejora de resultados económicos y reducción en el uso de los recursos.</w:t>
      </w:r>
    </w:p>
    <w:p w14:paraId="42E8EEAA" w14:textId="6C86BCD1" w:rsidR="00963C2B" w:rsidRDefault="00963C2B" w:rsidP="007541A9">
      <w:pPr>
        <w:pStyle w:val="Zerrenda-paragrafoa"/>
        <w:numPr>
          <w:ilvl w:val="0"/>
          <w:numId w:val="50"/>
        </w:numPr>
        <w:spacing w:before="60" w:line="240" w:lineRule="auto"/>
        <w:ind w:left="1066" w:hanging="709"/>
        <w:contextualSpacing w:val="0"/>
        <w:jc w:val="both"/>
      </w:pPr>
      <w:r>
        <w:t>Identificar y crear nuevas oportunidades de crecimiento económico e impulsar la innovación y la competitividad</w:t>
      </w:r>
    </w:p>
    <w:p w14:paraId="3A2EAD70" w14:textId="0F8016EF" w:rsidR="00963C2B" w:rsidRDefault="00963C2B" w:rsidP="007541A9">
      <w:pPr>
        <w:pStyle w:val="Zerrenda-paragrafoa"/>
        <w:numPr>
          <w:ilvl w:val="0"/>
          <w:numId w:val="50"/>
        </w:numPr>
        <w:spacing w:before="60" w:line="240" w:lineRule="auto"/>
        <w:ind w:left="1066" w:hanging="709"/>
        <w:contextualSpacing w:val="0"/>
        <w:jc w:val="both"/>
      </w:pPr>
      <w:r>
        <w:t>Garantizar la seguridad del suministro de recursos esenciales</w:t>
      </w:r>
    </w:p>
    <w:p w14:paraId="793EA395" w14:textId="69E51947" w:rsidR="00963C2B" w:rsidRDefault="00963C2B" w:rsidP="007541A9">
      <w:pPr>
        <w:pStyle w:val="Zerrenda-paragrafoa"/>
        <w:numPr>
          <w:ilvl w:val="0"/>
          <w:numId w:val="50"/>
        </w:numPr>
        <w:spacing w:before="60" w:line="240" w:lineRule="auto"/>
        <w:ind w:left="1066" w:hanging="709"/>
        <w:contextualSpacing w:val="0"/>
        <w:jc w:val="both"/>
      </w:pPr>
      <w:r>
        <w:t>Luchar contra el cambio climático y limitar los impactos medioambientales del uso de los recursos</w:t>
      </w:r>
    </w:p>
    <w:p w14:paraId="07BC7BD6" w14:textId="572B9B63" w:rsidR="00DC6B0E" w:rsidRDefault="00DC6B0E" w:rsidP="007541A9">
      <w:pPr>
        <w:spacing w:line="240" w:lineRule="auto"/>
        <w:jc w:val="both"/>
      </w:pPr>
      <w:r>
        <w:t>La disociación entre el crecimiento económico y la extracción y uso de recursos materiales, que se ha establecido como uno de los principios fundamentales del Pacto Verde Europeo, es desde hace años el factor económico clave en que Euskadi basa su transición hacia un sistema económico más sostenible. Dicha aspiración, por la que se ambiciona avanzar hacia un modelo de producción y consumo menos dependiente de los materiales, es monitorizada por la Productividad Material. Este indicador que, en Euskadi, a pesar de la inestabilidad observada en los últimos años, sigue manteniendo valores superiores a la media europea, da síntomas de una economía desmaterializada basada en el sector terciario (servicios y conocimiento), con un aprovechamiento más eficiente de los recursos, un mayor valor añadido de los productos y una menor dependencia de la importación y extracción de materiales. Además, si las proyecciones a 2030 no fallan, se prevé que las medidas de economía circular y mitigación del cambio climático, que actualmente se vienen impulsando, contribuyan a mejorar la eficiencia de los recursos.</w:t>
      </w:r>
    </w:p>
    <w:p w14:paraId="6F09534B" w14:textId="2CC6003F" w:rsidR="00E718B2" w:rsidRDefault="00DC6B0E" w:rsidP="007541A9">
      <w:pPr>
        <w:spacing w:line="240" w:lineRule="auto"/>
        <w:jc w:val="both"/>
      </w:pPr>
      <w:r>
        <w:t>Estas expectativas, sin embargo, no se materializarán sin políticas concretas que fomenten medidas específicas, y en Euskadi la Estrategia de Economía Circular de Euskadi 2030 ya establece como una de sus metas para 2030 aumentar en un 30% la Productividad Material respecto a 2016.</w:t>
      </w:r>
    </w:p>
    <w:p w14:paraId="43043718" w14:textId="26E4F9D2" w:rsidR="00BF1C01" w:rsidRDefault="00BF1C01" w:rsidP="007541A9">
      <w:pPr>
        <w:spacing w:line="240" w:lineRule="auto"/>
        <w:jc w:val="both"/>
      </w:pPr>
      <w:r w:rsidRPr="00BF1C01">
        <w:t xml:space="preserve">La industria y su proceso de transformación y renovación son claves en la situación actual del territorio y es sobre dicho sector sobre el que debe de seguir pivotando la transición hacia la eficiencia en la extracción y consumo de recursos. Pese a los importantes avances alcanzados en los últimos años, aún existen sectores industriales con un importante peso en la economía vasca que aplican un enfoque predominantemente lineal, basado en un flujo ineficiente de extracción y comercialización de materiales, su transformación en productos y, finalmente, su eliminación como residuos o emisiones. Esta baja tasa de reaprovechamiento de los materiales </w:t>
      </w:r>
      <w:r w:rsidRPr="00BF1C01">
        <w:lastRenderedPageBreak/>
        <w:t>hace que en los próximos años sea</w:t>
      </w:r>
      <w:r w:rsidR="00DF53C6">
        <w:t xml:space="preserve"> esencial</w:t>
      </w:r>
      <w:r w:rsidRPr="00BF1C01">
        <w:t xml:space="preserve"> una estrecha colaboración con la industria para situar al sector en la senda marcada, y las inversiones en cadenas de valor estratégicas. Además, en línea con el nuevo Plan europeo de acción para la economía circular, en Euskadi se seguirán articulando medidas para, por un lado, animar a las empresas a que desarrollen productos ecodiseñados que requieran menos recursos materiales en su producción, que sean reutilizables, duraderos y reparables, y, por el otro, facilitar que los consumidores puedan elegirlos.</w:t>
      </w:r>
    </w:p>
    <w:p w14:paraId="037D23E4" w14:textId="7D773044" w:rsidR="00F73CE3" w:rsidRDefault="009D4622" w:rsidP="007541A9">
      <w:pPr>
        <w:spacing w:line="240" w:lineRule="auto"/>
        <w:jc w:val="both"/>
      </w:pPr>
      <w:r w:rsidRPr="009D4622">
        <w:t xml:space="preserve">Otro de los sectores identificados clave en la Estrategia de Economía Circular de Euskadi 2030 es el de la construcción. La primera construcción, la renovación e incluso la utilización de edificios </w:t>
      </w:r>
      <w:r w:rsidR="00DF53C6" w:rsidRPr="009D4622">
        <w:t>requieren</w:t>
      </w:r>
      <w:r w:rsidRPr="009D4622">
        <w:t xml:space="preserve"> de importantes cantidades de recursos materiales y energía. Por ello y por responder a los desafíos de una utilización sostenible de los recursos y el incremento de la eficiencia energética de las edificaciones, la UE y todas sus regiones deben comenzar a incluir criterios que velen por un eficaz aprovechamiento de los recursos (incluso con vistas a la fase de desmantelamiento de los edificios), y a emprender una «oleada de renovación» en términos de eficiencia de edificios públicos y privados.</w:t>
      </w:r>
      <w:r w:rsidR="00CD0D6B">
        <w:t xml:space="preserve"> </w:t>
      </w:r>
    </w:p>
    <w:p w14:paraId="68E7DDE6" w14:textId="4D70E87F" w:rsidR="007541A9" w:rsidRDefault="00CD0D6B" w:rsidP="007541A9">
      <w:pPr>
        <w:spacing w:line="240" w:lineRule="auto"/>
        <w:jc w:val="both"/>
      </w:pPr>
      <w:r w:rsidRPr="00E53655">
        <w:t>El agroalimentario es el tercer sector en el que Euskadi trabaja por un futuro más eficiente en el consumo de recursos y en la reducción de desperdicios. Para combatir el despilfarro</w:t>
      </w:r>
      <w:r>
        <w:t xml:space="preserve"> y </w:t>
      </w:r>
      <w:r w:rsidRPr="00E53655">
        <w:t xml:space="preserve">reducir </w:t>
      </w:r>
      <w:r>
        <w:t>l</w:t>
      </w:r>
      <w:r w:rsidRPr="00E53655">
        <w:t>as necesidades de materias primas del sector</w:t>
      </w:r>
      <w:r>
        <w:t>,</w:t>
      </w:r>
      <w:r w:rsidRPr="00E53655">
        <w:t xml:space="preserve"> la </w:t>
      </w:r>
      <w:r w:rsidRPr="00E53655">
        <w:rPr>
          <w:i/>
          <w:iCs/>
        </w:rPr>
        <w:t>Estrategia de Economía Circular de Euskadi 2030</w:t>
      </w:r>
      <w:r w:rsidRPr="00E53655">
        <w:t>, en línea</w:t>
      </w:r>
      <w:r w:rsidR="00F73CE3">
        <w:t xml:space="preserve"> </w:t>
      </w:r>
      <w:r w:rsidR="007541A9">
        <w:t>con la Estrategia europea «de la granja a la mesa», prevé actuar a lo largo de toda la cadena de valor agroalimentaria, desde la propia explotación, pasando por el proceso de transformación, producción y distribución, hasta los centros de consumo (restaurantes, hogares, etc.). Todo ello a través de la concienciación y la modificación de los hábitos de consumo, junto a la elaboración de iniciativas que permitan en primer lugar reducir los excedentes a lo largo de la cadena y, en caso de no ser posible, identificar alternativas para su aprovechamiento.</w:t>
      </w:r>
    </w:p>
    <w:p w14:paraId="0A870346" w14:textId="2238A689" w:rsidR="00F73CE3" w:rsidRDefault="007541A9" w:rsidP="007541A9">
      <w:pPr>
        <w:spacing w:line="240" w:lineRule="auto"/>
        <w:jc w:val="both"/>
      </w:pPr>
      <w:r>
        <w:t>Se espera, por lo tanto, que la aplicación en los próximos años de todas las políticas de economía circular que garantizan la seguridad de suministro y un menor impacto ambiental asociado reduzca la dependencia de Euskadi frente a recursos naturales, tanto propios (extracción doméstica) como externos (importaciones), y contribuya a la reducción de emisiones de GEI procedentes de la producción de materiales.</w:t>
      </w:r>
    </w:p>
    <w:p w14:paraId="0923467F" w14:textId="77777777" w:rsidR="00E718B2" w:rsidRDefault="00E718B2" w:rsidP="007541A9">
      <w:pPr>
        <w:spacing w:line="240" w:lineRule="auto"/>
        <w:jc w:val="both"/>
      </w:pPr>
    </w:p>
    <w:p w14:paraId="2E48FD8B" w14:textId="755E9F84" w:rsidR="008256F8" w:rsidRDefault="00B06EE9" w:rsidP="007541A9">
      <w:pPr>
        <w:spacing w:line="240" w:lineRule="auto"/>
        <w:jc w:val="both"/>
      </w:pPr>
      <w:r w:rsidRPr="00B06EE9">
        <w:t xml:space="preserve">El </w:t>
      </w:r>
      <w:r w:rsidRPr="00B06EE9">
        <w:rPr>
          <w:b/>
          <w:bCs/>
        </w:rPr>
        <w:t>Consumo Doméstico de Materiales (CDM)</w:t>
      </w:r>
      <w:r w:rsidRPr="00B06EE9">
        <w:t xml:space="preserve"> hace referencia al consumo aparente en una región. Se calcula como la diferencia entre las entradas (Extracción Doméstica e importaciones) y las salidas (exportaciones) directas de materiales. Este indicador no considera los flujos ocultos o mochilas ecológicas, concepto que engloba los materiales que han sido desplazados del medio natural, pero que no entran directamente en la economía por no tener un valor económico (rechazo de procesos</w:t>
      </w:r>
      <w:r w:rsidR="008256F8">
        <w:t xml:space="preserve"> de extracción en cantería, etc.). Para una mejor comparabilidad entre territorios, los datos se expresan en toneladas per cápita.</w:t>
      </w:r>
      <w:r w:rsidR="007541A9">
        <w:t xml:space="preserve"> </w:t>
      </w:r>
      <w:r w:rsidR="008256F8">
        <w:t>El estudio de la evolución del CDM de una región muestra la intensidad del consumo aparente de la misma y sirve para conocer en qué etapa de la transición hacia modelos económicos más sostenibles basados en un aprovechamiento más eficiente de los recursos se encuentra un territorio.</w:t>
      </w:r>
    </w:p>
    <w:p w14:paraId="31803A74" w14:textId="3DF5910E" w:rsidR="00FC5C33" w:rsidRDefault="00FC5C33" w:rsidP="007541A9">
      <w:pPr>
        <w:spacing w:line="240" w:lineRule="auto"/>
        <w:jc w:val="both"/>
      </w:pPr>
      <w:r w:rsidRPr="00FC5C33">
        <w:t xml:space="preserve">Durante el periodo 2000-2007, el Consumo Doméstico de Materiales aumentó tanto en Euskadi como en el conjunto de la UE. En la UE el incremento fue del 10% y en Euskadi del 23,9%, pasando de las 15,3 toneladas per cápita de 2000 a las 18,9 de 2007. Por lo general, 2007 supuso un punto de inflexión en el que, debido predominantemente a la crisis financiera, las tendencias alcistas del CDM se invirtieron. Así, a lo largo del periodo 2007-2017, el consumo aparente se redujo un 19,8% en la UE y un 36% en Euskadi (12 toneladas per cápita </w:t>
      </w:r>
      <w:r w:rsidRPr="00FC5C33">
        <w:lastRenderedPageBreak/>
        <w:t>en 2017). En el caso concreto de Euskadi, 2013 parece ser el inicio de la recuperación del consumo, con un ascenso del CDM de 44 puntos porcentuales entre 2013 y 2017. Sin embargo, la tendencia en picos de sierra de los últimos años sugiere hacer un seguimiento del avance del indicador para confirmar la continuidad de los modelos de producción y consumo tradicionales en los que, en ausencia de crisis económica, el consumo tiende a incrementarse; o, por el contrario, el inicio de un nuevo modelo más sostenible y eficiente en el aprovechamiento de los recursos.</w:t>
      </w:r>
    </w:p>
    <w:p w14:paraId="64E17796" w14:textId="11D36A2C" w:rsidR="00E748FC" w:rsidRDefault="00E748FC" w:rsidP="007541A9">
      <w:pPr>
        <w:spacing w:line="240" w:lineRule="auto"/>
        <w:jc w:val="both"/>
      </w:pPr>
      <w:r w:rsidRPr="00E748FC">
        <w:rPr>
          <w:b/>
          <w:bCs/>
        </w:rPr>
        <w:t xml:space="preserve">Evolución del Consumo Doméstico de Materiales en Euskadi </w:t>
      </w:r>
      <w:r w:rsidRPr="00E748FC">
        <w:t>(Departamento de Desarrollo Económico, Sostenibilidad y Medio Ambiente del Gobierno Vasco).</w:t>
      </w:r>
    </w:p>
    <w:p w14:paraId="264C755D" w14:textId="6FB3EE6A" w:rsidR="00FC5C33" w:rsidRPr="00EB7E18" w:rsidRDefault="009F3A84" w:rsidP="007541A9">
      <w:pPr>
        <w:spacing w:line="240" w:lineRule="auto"/>
        <w:jc w:val="both"/>
      </w:pPr>
      <w:r w:rsidRPr="009F3A84">
        <w:rPr>
          <w:rFonts w:ascii="Calibri" w:eastAsia="Calibri" w:hAnsi="Calibri" w:cs="Arial"/>
          <w:i/>
          <w:noProof/>
          <w:lang w:eastAsia="es-ES"/>
        </w:rPr>
        <w:drawing>
          <wp:inline distT="0" distB="0" distL="0" distR="0" wp14:anchorId="64CE3A5D" wp14:editId="6E7268CF">
            <wp:extent cx="4994111" cy="1996440"/>
            <wp:effectExtent l="0" t="0" r="0" b="0"/>
            <wp:docPr id="1572" name="Imagen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60"/>
                    <a:stretch/>
                  </pic:blipFill>
                  <pic:spPr bwMode="auto">
                    <a:xfrm>
                      <a:off x="0" y="0"/>
                      <a:ext cx="5042842" cy="2015920"/>
                    </a:xfrm>
                    <a:prstGeom prst="rect">
                      <a:avLst/>
                    </a:prstGeom>
                    <a:noFill/>
                    <a:ln>
                      <a:noFill/>
                    </a:ln>
                    <a:extLst>
                      <a:ext uri="{53640926-AAD7-44D8-BBD7-CCE9431645EC}">
                        <a14:shadowObscured xmlns:a14="http://schemas.microsoft.com/office/drawing/2010/main"/>
                      </a:ext>
                    </a:extLst>
                  </pic:spPr>
                </pic:pic>
              </a:graphicData>
            </a:graphic>
          </wp:inline>
        </w:drawing>
      </w:r>
    </w:p>
    <w:p w14:paraId="072A8733" w14:textId="57AF8C1B" w:rsidR="0008119C" w:rsidRDefault="00701563" w:rsidP="007541A9">
      <w:pPr>
        <w:spacing w:line="240" w:lineRule="auto"/>
        <w:jc w:val="both"/>
      </w:pPr>
      <w:r>
        <w:t>La Productividad Material (PM) se define como la ratio PIB/CDM</w:t>
      </w:r>
      <w:r>
        <w:fldChar w:fldCharType="begin"/>
      </w:r>
      <w:r>
        <w:instrText xml:space="preserve"> REF _Ref57305615 \r \h  \* MERGEFORMAT </w:instrText>
      </w:r>
      <w:r>
        <w:fldChar w:fldCharType="separate"/>
      </w:r>
      <w:r w:rsidR="006C0251">
        <w:rPr>
          <w:b/>
          <w:bCs/>
        </w:rPr>
        <w:t>¡Error! No se encuentra el origen de la referencia.</w:t>
      </w:r>
      <w:r>
        <w:fldChar w:fldCharType="end"/>
      </w:r>
      <w:r>
        <w:t xml:space="preserve"> Cuando se tiene como objetivo analizar la tendencia o evolución de la PM a lo largo del tiempo en un único ámbito geográfico se debe utilizar el PIB en volumen encadenado con un año de referencia y precios corrientes de ese mismo año. Por contra, cuando se tiene como objetivo analizar la tendencia o evolución de la PM entre dos o más ámbitos geográficos para un mismo año de referencia se debe utilizar el PIB en paridad de poder de compra. De este modo, se evita que los cambios en los precios a lo largo del tiempo y las diferencias en el poder adquisitivo entre países influyan en la evolución del indicador. Esta dicotomía a la </w:t>
      </w:r>
      <w:r w:rsidR="00CE0C03">
        <w:t>hora de utilizar el PIB se debe a la no existencia de una única definición del PIB que permita las comparaciones en dos dimensiones a la vez (tiempo y espacio).</w:t>
      </w:r>
    </w:p>
    <w:p w14:paraId="2CD48762" w14:textId="270FB820" w:rsidR="00633122" w:rsidRDefault="00633122" w:rsidP="007541A9">
      <w:pPr>
        <w:spacing w:line="240" w:lineRule="auto"/>
        <w:jc w:val="both"/>
      </w:pPr>
      <w:r w:rsidRPr="00633122">
        <w:t>La Productividad Material es un indicador que relaciona el Producto Interior Bruto de un territorio, en unidades monetarias, con el Consumo Doméstico de Materiales, en términos físicos. Sirve para evaluar el avance del sistema económico hacia un modelo de producción y consumo menos dependiente de los materiales. Una Productividad Material alta es síntoma de una economía basada en el sector terciario (servicios y conocimiento), sinónimo de una economía desmaterializada.</w:t>
      </w:r>
    </w:p>
    <w:p w14:paraId="4FABE7FD" w14:textId="1627D48B" w:rsidR="00BA6965" w:rsidRDefault="00522EF2" w:rsidP="007541A9">
      <w:pPr>
        <w:spacing w:line="240" w:lineRule="auto"/>
        <w:jc w:val="both"/>
      </w:pPr>
      <w:r w:rsidRPr="00522EF2">
        <w:t>Al analizar la evolución de la Productividad Material a lo largo del tiempo en Euskadi, se observa que durante el periodo 2005-2013 hubo un incremento del 119%, pasando de 1,64€/kg en 2005 a 3,60€/kg en 2013. Esta tendencia de desmaterialización de la economía vasca, por la que por cada kilogramo consumido (CDM) se incrementó el valor monetario de la producción de bienes (PIB), halló un punto de inflexión en 2013. A partir de entonces, parece haber comenzado un periodo de inestabilidad del que se entrevé un descenso de la productividad de los materiales causado en gran medida por la vuelta a modelos de consumo tradicionales ligados al inicio de recuperación de la crisis financiera. Así, en 2017 la PM se cifra en 2,81€/kg, lo que vuelve a situar la dependencia respecto a los materiales del modelo vasco de producción y consumo en niveles de 2011.</w:t>
      </w:r>
    </w:p>
    <w:p w14:paraId="563DCB5A" w14:textId="112760EA" w:rsidR="00BA6965" w:rsidRDefault="00C64CA9" w:rsidP="007541A9">
      <w:pPr>
        <w:spacing w:line="240" w:lineRule="auto"/>
        <w:jc w:val="both"/>
      </w:pPr>
      <w:r w:rsidRPr="00C64CA9">
        <w:rPr>
          <w:b/>
          <w:bCs/>
        </w:rPr>
        <w:lastRenderedPageBreak/>
        <w:t>Evolución del indicador de Productividad Material en Euskadi, PIB/CDM.</w:t>
      </w:r>
      <w:r w:rsidRPr="00C64CA9">
        <w:t xml:space="preserve"> PIB en volumen encadenado, año de referencia 2015 (Departamento de Desarrollo Económico, Sostenibilidad y Medio Ambiente del Gobierno Vasco).</w:t>
      </w:r>
    </w:p>
    <w:p w14:paraId="52BB5F67" w14:textId="7947C4C3" w:rsidR="00BA6965" w:rsidRDefault="00BA6965" w:rsidP="007541A9">
      <w:pPr>
        <w:spacing w:line="240" w:lineRule="auto"/>
        <w:jc w:val="both"/>
      </w:pPr>
    </w:p>
    <w:p w14:paraId="51545E95" w14:textId="2CBD49C7" w:rsidR="00BA6965" w:rsidRDefault="00BA6965" w:rsidP="007541A9">
      <w:pPr>
        <w:spacing w:line="240" w:lineRule="auto"/>
        <w:jc w:val="both"/>
      </w:pPr>
      <w:r>
        <w:rPr>
          <w:noProof/>
          <w:lang w:eastAsia="es-ES"/>
        </w:rPr>
        <w:drawing>
          <wp:inline distT="0" distB="0" distL="0" distR="0" wp14:anchorId="74C4345A" wp14:editId="65AC4496">
            <wp:extent cx="4541520" cy="2625008"/>
            <wp:effectExtent l="0" t="0" r="0" b="0"/>
            <wp:docPr id="1574" name="Imagen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4"/>
                    <pic:cNvPicPr/>
                  </pic:nvPicPr>
                  <pic:blipFill>
                    <a:blip r:embed="rId14">
                      <a:extLst>
                        <a:ext uri="{28A0092B-C50C-407E-A947-70E740481C1C}">
                          <a14:useLocalDpi xmlns:a14="http://schemas.microsoft.com/office/drawing/2010/main" val="0"/>
                        </a:ext>
                      </a:extLst>
                    </a:blip>
                    <a:stretch>
                      <a:fillRect/>
                    </a:stretch>
                  </pic:blipFill>
                  <pic:spPr>
                    <a:xfrm>
                      <a:off x="0" y="0"/>
                      <a:ext cx="4541520" cy="2625008"/>
                    </a:xfrm>
                    <a:prstGeom prst="rect">
                      <a:avLst/>
                    </a:prstGeom>
                  </pic:spPr>
                </pic:pic>
              </a:graphicData>
            </a:graphic>
          </wp:inline>
        </w:drawing>
      </w:r>
    </w:p>
    <w:p w14:paraId="44C938ED" w14:textId="6125EE0E" w:rsidR="00312320" w:rsidRDefault="00312320" w:rsidP="007541A9">
      <w:pPr>
        <w:spacing w:line="240" w:lineRule="auto"/>
        <w:jc w:val="both"/>
        <w:rPr>
          <w:rFonts w:asciiTheme="majorHAnsi" w:eastAsiaTheme="majorEastAsia" w:hAnsiTheme="majorHAnsi" w:cstheme="majorBidi"/>
          <w:b/>
          <w:bCs/>
          <w:color w:val="365F91" w:themeColor="accent1" w:themeShade="BF"/>
          <w:sz w:val="36"/>
          <w:szCs w:val="28"/>
        </w:rPr>
      </w:pPr>
      <w:r>
        <w:rPr>
          <w:rFonts w:asciiTheme="majorHAnsi" w:eastAsiaTheme="majorEastAsia" w:hAnsiTheme="majorHAnsi" w:cstheme="majorBidi"/>
          <w:b/>
          <w:bCs/>
          <w:color w:val="365F91" w:themeColor="accent1" w:themeShade="BF"/>
          <w:sz w:val="36"/>
          <w:szCs w:val="28"/>
        </w:rPr>
        <w:br w:type="page"/>
      </w:r>
    </w:p>
    <w:p w14:paraId="51815B48" w14:textId="18E470A3" w:rsidR="0090063D" w:rsidRPr="005C3D91" w:rsidRDefault="0090063D" w:rsidP="0090063D">
      <w:pPr>
        <w:pStyle w:val="1izenburua"/>
        <w:spacing w:line="240" w:lineRule="auto"/>
        <w:jc w:val="both"/>
        <w:rPr>
          <w:sz w:val="36"/>
        </w:rPr>
      </w:pPr>
      <w:r w:rsidRPr="005C3D91">
        <w:rPr>
          <w:sz w:val="36"/>
        </w:rPr>
        <w:lastRenderedPageBreak/>
        <w:t xml:space="preserve">ANEXO </w:t>
      </w:r>
      <w:r>
        <w:rPr>
          <w:sz w:val="36"/>
        </w:rPr>
        <w:t>2</w:t>
      </w:r>
      <w:r w:rsidRPr="005C3D91">
        <w:rPr>
          <w:sz w:val="36"/>
        </w:rPr>
        <w:t xml:space="preserve">. </w:t>
      </w:r>
      <w:r w:rsidRPr="0090063D">
        <w:rPr>
          <w:sz w:val="36"/>
        </w:rPr>
        <w:t>Indicadores de Economía circular en Euskadi</w:t>
      </w:r>
    </w:p>
    <w:p w14:paraId="6A97C354" w14:textId="77777777" w:rsidR="0090063D" w:rsidRDefault="0090063D" w:rsidP="0090063D">
      <w:pPr>
        <w:spacing w:line="240" w:lineRule="auto"/>
        <w:jc w:val="both"/>
      </w:pPr>
    </w:p>
    <w:p w14:paraId="5FCD3033" w14:textId="5DBF0DD6" w:rsidR="005D6568" w:rsidRDefault="005D6568" w:rsidP="005D6568">
      <w:pPr>
        <w:spacing w:after="0"/>
        <w:jc w:val="both"/>
      </w:pPr>
      <w:r w:rsidRPr="003A438E">
        <w:t>El objetivo del panel de seguimiento es evaluar el progreso hacia una economía más circular en Euskadi, a través de un conjunto limitado de indicadores clave que capten los principales elementos de la economía circular. Esto también permitirá evaluar la eficacia de las acciones a nivel de la UE, para identificar las mejores prácticas y las diferencias de rendimiento en áreas específicas, así como la posible necesidad de nuevas medidas.</w:t>
      </w:r>
    </w:p>
    <w:p w14:paraId="0582A782" w14:textId="77777777" w:rsidR="005D6568" w:rsidRPr="003A438E" w:rsidRDefault="005D6568" w:rsidP="005D6568">
      <w:pPr>
        <w:spacing w:after="0"/>
        <w:jc w:val="both"/>
      </w:pPr>
    </w:p>
    <w:p w14:paraId="6CDA534A" w14:textId="428E3546" w:rsidR="005E253B" w:rsidRDefault="00E251F3" w:rsidP="005D6568">
      <w:pPr>
        <w:spacing w:line="240" w:lineRule="auto"/>
        <w:jc w:val="both"/>
      </w:pPr>
      <w:r w:rsidRPr="005E253B">
        <w:t xml:space="preserve">Comparativa </w:t>
      </w:r>
      <w:r w:rsidR="005E253B" w:rsidRPr="005E253B">
        <w:t>entre el diagrama de Sankey de Euskadi (2018) y el de la UE(27) (2018) con flujos de materiales exp</w:t>
      </w:r>
      <w:r>
        <w:t>resados en toneladas per cápita:</w:t>
      </w:r>
    </w:p>
    <w:tbl>
      <w:tblPr>
        <w:tblStyle w:val="Saretaduntaula"/>
        <w:tblW w:w="0" w:type="auto"/>
        <w:jc w:val="center"/>
        <w:tblBorders>
          <w:top w:val="single" w:sz="6" w:space="0" w:color="B8CCE4" w:themeColor="accent1" w:themeTint="66"/>
          <w:left w:val="single" w:sz="6" w:space="0" w:color="B8CCE4" w:themeColor="accent1" w:themeTint="66"/>
          <w:bottom w:val="single" w:sz="6" w:space="0" w:color="B8CCE4" w:themeColor="accent1" w:themeTint="66"/>
          <w:right w:val="single" w:sz="6" w:space="0" w:color="B8CCE4" w:themeColor="accent1" w:themeTint="66"/>
          <w:insideH w:val="single" w:sz="6" w:space="0" w:color="B8CCE4" w:themeColor="accent1" w:themeTint="66"/>
          <w:insideV w:val="single" w:sz="6" w:space="0" w:color="B8CCE4" w:themeColor="accent1" w:themeTint="66"/>
        </w:tblBorders>
        <w:tblLook w:val="04A0" w:firstRow="1" w:lastRow="0" w:firstColumn="1" w:lastColumn="0" w:noHBand="0" w:noVBand="1"/>
      </w:tblPr>
      <w:tblGrid>
        <w:gridCol w:w="7786"/>
      </w:tblGrid>
      <w:tr w:rsidR="005E253B" w:rsidRPr="006D77B7" w14:paraId="67B73326" w14:textId="77777777" w:rsidTr="7EA814DB">
        <w:trPr>
          <w:trHeight w:val="8060"/>
          <w:jc w:val="center"/>
        </w:trPr>
        <w:tc>
          <w:tcPr>
            <w:tcW w:w="7786" w:type="dxa"/>
          </w:tcPr>
          <w:p w14:paraId="38266683" w14:textId="77777777" w:rsidR="005E253B" w:rsidRPr="008E0356" w:rsidRDefault="005E253B" w:rsidP="004C6ACD">
            <w:pPr>
              <w:spacing w:before="120" w:line="276" w:lineRule="auto"/>
              <w:ind w:left="592"/>
              <w:rPr>
                <w:rFonts w:cs="Calibri"/>
              </w:rPr>
            </w:pPr>
            <w:r w:rsidRPr="008E0356">
              <w:rPr>
                <w:b/>
                <w:color w:val="92D050"/>
              </w:rPr>
              <w:t>Euskadi 2018</w:t>
            </w:r>
          </w:p>
          <w:p w14:paraId="34376E4E" w14:textId="77777777" w:rsidR="005E253B" w:rsidRPr="008E0356" w:rsidRDefault="005E253B" w:rsidP="004C6ACD">
            <w:pPr>
              <w:spacing w:before="120" w:line="276" w:lineRule="auto"/>
              <w:jc w:val="center"/>
              <w:rPr>
                <w:rFonts w:cs="Calibri"/>
                <w:sz w:val="2"/>
              </w:rPr>
            </w:pPr>
            <w:r w:rsidRPr="008E0356">
              <w:rPr>
                <w:noProof/>
                <w:sz w:val="2"/>
                <w:lang w:eastAsia="es-ES"/>
              </w:rPr>
              <w:drawing>
                <wp:inline distT="0" distB="0" distL="0" distR="0" wp14:anchorId="7A323781" wp14:editId="47C76D82">
                  <wp:extent cx="3420288" cy="2016662"/>
                  <wp:effectExtent l="19050" t="19050" r="8890" b="22225"/>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1093" cy="2028929"/>
                          </a:xfrm>
                          <a:prstGeom prst="rect">
                            <a:avLst/>
                          </a:prstGeom>
                          <a:solidFill>
                            <a:schemeClr val="bg1"/>
                          </a:solidFill>
                          <a:ln>
                            <a:solidFill>
                              <a:schemeClr val="bg1">
                                <a:lumMod val="85000"/>
                              </a:schemeClr>
                            </a:solidFill>
                          </a:ln>
                        </pic:spPr>
                      </pic:pic>
                    </a:graphicData>
                  </a:graphic>
                </wp:inline>
              </w:drawing>
            </w:r>
          </w:p>
          <w:p w14:paraId="4D8F8173" w14:textId="77777777" w:rsidR="005E253B" w:rsidRPr="008E0356" w:rsidRDefault="005E253B" w:rsidP="004C6ACD">
            <w:pPr>
              <w:spacing w:before="120" w:line="276" w:lineRule="auto"/>
              <w:jc w:val="center"/>
              <w:rPr>
                <w:rFonts w:cs="Calibri"/>
                <w:sz w:val="2"/>
              </w:rPr>
            </w:pPr>
          </w:p>
          <w:p w14:paraId="1565EDD3" w14:textId="77777777" w:rsidR="005E253B" w:rsidRPr="006D77B7" w:rsidRDefault="005E253B" w:rsidP="004C6ACD">
            <w:pPr>
              <w:rPr>
                <w:sz w:val="2"/>
                <w:highlight w:val="yellow"/>
              </w:rPr>
            </w:pPr>
          </w:p>
          <w:p w14:paraId="0261715A" w14:textId="77777777" w:rsidR="005E253B" w:rsidRPr="00396E19" w:rsidRDefault="005E253B" w:rsidP="004C6ACD">
            <w:pPr>
              <w:spacing w:line="276" w:lineRule="auto"/>
              <w:ind w:left="592"/>
              <w:rPr>
                <w:rFonts w:cs="Calibri"/>
              </w:rPr>
            </w:pPr>
            <w:r w:rsidRPr="00396E19">
              <w:rPr>
                <w:b/>
                <w:color w:val="92D050"/>
              </w:rPr>
              <w:t>UE(27) 2018</w:t>
            </w:r>
          </w:p>
          <w:p w14:paraId="6F4637EC" w14:textId="77777777" w:rsidR="005E253B" w:rsidRDefault="005E253B" w:rsidP="004C6ACD">
            <w:pPr>
              <w:spacing w:before="120" w:after="240" w:line="276" w:lineRule="auto"/>
              <w:jc w:val="center"/>
              <w:rPr>
                <w:rFonts w:cs="Calibri"/>
                <w:highlight w:val="yellow"/>
              </w:rPr>
            </w:pPr>
            <w:r w:rsidRPr="00396E19">
              <w:rPr>
                <w:rFonts w:cs="Calibri"/>
                <w:noProof/>
                <w:lang w:eastAsia="es-ES"/>
              </w:rPr>
              <w:drawing>
                <wp:inline distT="0" distB="0" distL="0" distR="0" wp14:anchorId="505783C8" wp14:editId="48C0FBC7">
                  <wp:extent cx="3420093" cy="1894748"/>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64"/>
                          <a:stretch/>
                        </pic:blipFill>
                        <pic:spPr bwMode="auto">
                          <a:xfrm>
                            <a:off x="0" y="0"/>
                            <a:ext cx="3473821" cy="1924514"/>
                          </a:xfrm>
                          <a:prstGeom prst="rect">
                            <a:avLst/>
                          </a:prstGeom>
                          <a:noFill/>
                          <a:ln>
                            <a:noFill/>
                          </a:ln>
                          <a:extLst>
                            <a:ext uri="{53640926-AAD7-44D8-BBD7-CCE9431645EC}">
                              <a14:shadowObscured xmlns:a14="http://schemas.microsoft.com/office/drawing/2010/main"/>
                            </a:ext>
                          </a:extLst>
                        </pic:spPr>
                      </pic:pic>
                    </a:graphicData>
                  </a:graphic>
                </wp:inline>
              </w:drawing>
            </w:r>
          </w:p>
          <w:p w14:paraId="73DC5BB5" w14:textId="77777777" w:rsidR="005E253B" w:rsidRPr="006D77B7" w:rsidRDefault="005E253B" w:rsidP="004C6ACD">
            <w:pPr>
              <w:spacing w:before="120" w:line="276" w:lineRule="auto"/>
              <w:jc w:val="center"/>
              <w:rPr>
                <w:rFonts w:cs="Calibri"/>
                <w:highlight w:val="yellow"/>
              </w:rPr>
            </w:pPr>
            <w:r w:rsidRPr="00396E19">
              <w:rPr>
                <w:rFonts w:cs="Calibri"/>
                <w:noProof/>
                <w:lang w:eastAsia="es-ES"/>
              </w:rPr>
              <w:drawing>
                <wp:inline distT="0" distB="0" distL="0" distR="0" wp14:anchorId="4183879A" wp14:editId="2E87DC2F">
                  <wp:extent cx="3953590" cy="358819"/>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3631"/>
                          <a:stretch/>
                        </pic:blipFill>
                        <pic:spPr bwMode="auto">
                          <a:xfrm>
                            <a:off x="0" y="0"/>
                            <a:ext cx="4174799" cy="3788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BFFE8C" w14:textId="125284F6" w:rsidR="0090063D" w:rsidRPr="00EB7E18" w:rsidRDefault="0090063D" w:rsidP="0090063D">
      <w:pPr>
        <w:spacing w:line="240" w:lineRule="auto"/>
        <w:jc w:val="both"/>
      </w:pPr>
      <w:r w:rsidRPr="00EB7E18">
        <w:t xml:space="preserve">. </w:t>
      </w:r>
    </w:p>
    <w:p w14:paraId="4A5CE0FB" w14:textId="235C1D24" w:rsidR="00E251F3" w:rsidRDefault="00F40EF5">
      <w:pPr>
        <w:rPr>
          <w:rFonts w:asciiTheme="majorHAnsi" w:eastAsiaTheme="majorEastAsia" w:hAnsiTheme="majorHAnsi" w:cstheme="majorBidi"/>
          <w:b/>
          <w:bCs/>
          <w:color w:val="365F91" w:themeColor="accent1" w:themeShade="BF"/>
          <w:sz w:val="36"/>
          <w:szCs w:val="28"/>
        </w:rPr>
      </w:pPr>
      <w:r>
        <w:rPr>
          <w:rFonts w:asciiTheme="majorHAnsi" w:eastAsiaTheme="majorEastAsia" w:hAnsiTheme="majorHAnsi" w:cstheme="majorBidi"/>
          <w:b/>
          <w:bCs/>
          <w:color w:val="365F91" w:themeColor="accent1" w:themeShade="BF"/>
          <w:sz w:val="36"/>
          <w:szCs w:val="28"/>
        </w:rPr>
        <w:br w:type="page"/>
      </w:r>
    </w:p>
    <w:tbl>
      <w:tblPr>
        <w:tblStyle w:val="Tablaconcuadrcula1"/>
        <w:tblW w:w="9363" w:type="dxa"/>
        <w:tblInd w:w="-437" w:type="dxa"/>
        <w:tblLayout w:type="fixed"/>
        <w:tblLook w:val="04A0" w:firstRow="1" w:lastRow="0" w:firstColumn="1" w:lastColumn="0" w:noHBand="0" w:noVBand="1"/>
      </w:tblPr>
      <w:tblGrid>
        <w:gridCol w:w="562"/>
        <w:gridCol w:w="5682"/>
        <w:gridCol w:w="1843"/>
        <w:gridCol w:w="1276"/>
      </w:tblGrid>
      <w:tr w:rsidR="00E251F3" w:rsidRPr="00E251F3" w14:paraId="176E3EA6" w14:textId="77777777" w:rsidTr="00E251F3">
        <w:trPr>
          <w:trHeight w:val="371"/>
        </w:trPr>
        <w:tc>
          <w:tcPr>
            <w:tcW w:w="9363" w:type="dxa"/>
            <w:gridSpan w:val="4"/>
            <w:tcBorders>
              <w:top w:val="nil"/>
              <w:left w:val="nil"/>
              <w:bottom w:val="single" w:sz="4" w:space="0" w:color="FFFFFF"/>
              <w:right w:val="nil"/>
            </w:tcBorders>
            <w:shd w:val="clear" w:color="auto" w:fill="3F6C19"/>
            <w:vAlign w:val="center"/>
          </w:tcPr>
          <w:p w14:paraId="5FECB87B" w14:textId="77777777" w:rsidR="00E251F3" w:rsidRPr="00E251F3" w:rsidRDefault="00E251F3" w:rsidP="00E251F3">
            <w:pPr>
              <w:ind w:left="184"/>
              <w:rPr>
                <w:rFonts w:ascii="Calibri" w:eastAsia="Calibri" w:hAnsi="Calibri" w:cs="Times New Roman"/>
                <w:b/>
                <w:color w:val="FFFFFF"/>
                <w:sz w:val="18"/>
              </w:rPr>
            </w:pPr>
            <w:r w:rsidRPr="00E251F3">
              <w:rPr>
                <w:rFonts w:ascii="Calibri" w:eastAsia="Calibri" w:hAnsi="Calibri" w:cs="Times New Roman"/>
                <w:b/>
                <w:color w:val="FFFFFF"/>
                <w:sz w:val="18"/>
              </w:rPr>
              <w:lastRenderedPageBreak/>
              <w:t>PANEL DE INDICADORES ECONOMIA CIRCULAR- EUSKADI 2021</w:t>
            </w:r>
          </w:p>
        </w:tc>
      </w:tr>
      <w:tr w:rsidR="00E251F3" w:rsidRPr="00E251F3" w14:paraId="15DB4C22" w14:textId="77777777" w:rsidTr="00E251F3">
        <w:trPr>
          <w:trHeight w:val="300"/>
        </w:trPr>
        <w:tc>
          <w:tcPr>
            <w:tcW w:w="9363" w:type="dxa"/>
            <w:gridSpan w:val="4"/>
            <w:tcBorders>
              <w:top w:val="single" w:sz="4" w:space="0" w:color="FFFFFF"/>
              <w:left w:val="nil"/>
              <w:bottom w:val="single" w:sz="4" w:space="0" w:color="FFFFFF"/>
              <w:right w:val="nil"/>
            </w:tcBorders>
            <w:shd w:val="clear" w:color="auto" w:fill="5EA226"/>
            <w:vAlign w:val="center"/>
          </w:tcPr>
          <w:p w14:paraId="7B66125C" w14:textId="77777777" w:rsidR="00E251F3" w:rsidRPr="00E251F3" w:rsidRDefault="00E251F3" w:rsidP="00E251F3">
            <w:pPr>
              <w:ind w:left="184"/>
              <w:rPr>
                <w:rFonts w:ascii="Calibri" w:eastAsia="Calibri" w:hAnsi="Calibri" w:cs="Times New Roman"/>
                <w:b/>
                <w:color w:val="FFFFFF"/>
                <w:sz w:val="18"/>
              </w:rPr>
            </w:pPr>
            <w:r w:rsidRPr="00E251F3">
              <w:rPr>
                <w:rFonts w:ascii="Calibri" w:eastAsia="Calibri" w:hAnsi="Calibri" w:cs="Times New Roman"/>
                <w:b/>
                <w:color w:val="FFFFFF"/>
                <w:sz w:val="18"/>
              </w:rPr>
              <w:t>INDICADORES CLAVE-Marco de seguimiento de la Comisión Europea</w:t>
            </w:r>
          </w:p>
        </w:tc>
      </w:tr>
      <w:tr w:rsidR="00E251F3" w:rsidRPr="00E251F3" w14:paraId="678123A0" w14:textId="77777777" w:rsidTr="00E251F3">
        <w:tc>
          <w:tcPr>
            <w:tcW w:w="6244" w:type="dxa"/>
            <w:gridSpan w:val="2"/>
            <w:tcBorders>
              <w:top w:val="single" w:sz="4" w:space="0" w:color="FFFFFF"/>
              <w:left w:val="nil"/>
              <w:bottom w:val="dotted" w:sz="4" w:space="0" w:color="60A527"/>
              <w:right w:val="nil"/>
            </w:tcBorders>
            <w:shd w:val="clear" w:color="auto" w:fill="B1E389"/>
          </w:tcPr>
          <w:p w14:paraId="19047FCF" w14:textId="77777777" w:rsidR="00E251F3" w:rsidRPr="00E251F3" w:rsidRDefault="00E251F3" w:rsidP="00E251F3">
            <w:pPr>
              <w:ind w:left="175"/>
              <w:rPr>
                <w:rFonts w:ascii="Calibri" w:eastAsia="Calibri" w:hAnsi="Calibri" w:cs="Times New Roman"/>
                <w:b/>
                <w:color w:val="3F6C19"/>
                <w:sz w:val="18"/>
              </w:rPr>
            </w:pPr>
            <w:r w:rsidRPr="00E251F3">
              <w:rPr>
                <w:rFonts w:ascii="Calibri" w:eastAsia="Calibri" w:hAnsi="Calibri" w:cs="Times New Roman"/>
                <w:b/>
                <w:color w:val="3F6C19"/>
                <w:sz w:val="18"/>
              </w:rPr>
              <w:t>Producción y consumo</w:t>
            </w:r>
          </w:p>
        </w:tc>
        <w:tc>
          <w:tcPr>
            <w:tcW w:w="1843" w:type="dxa"/>
            <w:tcBorders>
              <w:top w:val="single" w:sz="4" w:space="0" w:color="FFFFFF"/>
              <w:left w:val="nil"/>
              <w:bottom w:val="dotted" w:sz="4" w:space="0" w:color="60A527"/>
              <w:right w:val="nil"/>
            </w:tcBorders>
            <w:shd w:val="clear" w:color="auto" w:fill="B1E389"/>
            <w:vAlign w:val="center"/>
          </w:tcPr>
          <w:p w14:paraId="5CA7D84D" w14:textId="77777777" w:rsidR="00E251F3" w:rsidRPr="00E251F3" w:rsidRDefault="00E251F3" w:rsidP="00E251F3">
            <w:pPr>
              <w:ind w:left="-112"/>
              <w:jc w:val="center"/>
              <w:rPr>
                <w:rFonts w:ascii="Calibri" w:eastAsia="Calibri" w:hAnsi="Calibri" w:cs="Times New Roman"/>
                <w:b/>
                <w:color w:val="3F6C19"/>
                <w:sz w:val="18"/>
              </w:rPr>
            </w:pPr>
            <w:r w:rsidRPr="00E251F3">
              <w:rPr>
                <w:rFonts w:ascii="Calibri" w:eastAsia="Calibri" w:hAnsi="Calibri" w:cs="Times New Roman"/>
                <w:b/>
                <w:color w:val="3F6C19"/>
                <w:sz w:val="18"/>
              </w:rPr>
              <w:t>2018</w:t>
            </w:r>
          </w:p>
        </w:tc>
        <w:tc>
          <w:tcPr>
            <w:tcW w:w="1276" w:type="dxa"/>
            <w:tcBorders>
              <w:top w:val="single" w:sz="4" w:space="0" w:color="FFFFFF"/>
              <w:left w:val="nil"/>
              <w:bottom w:val="dotted" w:sz="4" w:space="0" w:color="60A527"/>
              <w:right w:val="nil"/>
            </w:tcBorders>
            <w:shd w:val="clear" w:color="auto" w:fill="B1E389"/>
          </w:tcPr>
          <w:p w14:paraId="2E21F357" w14:textId="77777777" w:rsidR="00E251F3" w:rsidRPr="00E251F3" w:rsidRDefault="00E251F3" w:rsidP="00E251F3">
            <w:pPr>
              <w:ind w:left="-112"/>
              <w:jc w:val="center"/>
              <w:rPr>
                <w:rFonts w:ascii="Calibri" w:eastAsia="Calibri" w:hAnsi="Calibri" w:cs="Times New Roman"/>
                <w:b/>
                <w:color w:val="3F6C19"/>
                <w:sz w:val="18"/>
              </w:rPr>
            </w:pPr>
            <w:r w:rsidRPr="00E251F3">
              <w:rPr>
                <w:rFonts w:ascii="Calibri" w:eastAsia="Calibri" w:hAnsi="Calibri" w:cs="Times New Roman"/>
                <w:b/>
                <w:color w:val="3F6C19"/>
                <w:sz w:val="18"/>
              </w:rPr>
              <w:t>Respecto 2017</w:t>
            </w:r>
          </w:p>
        </w:tc>
      </w:tr>
      <w:tr w:rsidR="00E251F3" w:rsidRPr="00E251F3" w14:paraId="1A3E300F" w14:textId="77777777" w:rsidTr="004C6ACD">
        <w:tc>
          <w:tcPr>
            <w:tcW w:w="562" w:type="dxa"/>
            <w:tcBorders>
              <w:top w:val="dotted" w:sz="4" w:space="0" w:color="60A527"/>
              <w:left w:val="nil"/>
              <w:bottom w:val="dotted" w:sz="4" w:space="0" w:color="60A527"/>
              <w:right w:val="nil"/>
            </w:tcBorders>
          </w:tcPr>
          <w:p w14:paraId="604094DA" w14:textId="77777777" w:rsidR="00E251F3" w:rsidRPr="00E251F3" w:rsidRDefault="00E251F3" w:rsidP="00E251F3">
            <w:pPr>
              <w:ind w:left="0"/>
              <w:rPr>
                <w:rFonts w:ascii="Calibri" w:eastAsia="Calibri" w:hAnsi="Calibri" w:cs="Times New Roman"/>
                <w:b/>
                <w:color w:val="5EA226"/>
                <w:sz w:val="18"/>
              </w:rPr>
            </w:pPr>
            <w:r w:rsidRPr="00E251F3">
              <w:rPr>
                <w:rFonts w:ascii="Calibri" w:eastAsia="Calibri" w:hAnsi="Calibri" w:cs="Times New Roman"/>
                <w:b/>
                <w:color w:val="5EA226"/>
                <w:sz w:val="18"/>
              </w:rPr>
              <w:t>1</w:t>
            </w:r>
          </w:p>
        </w:tc>
        <w:tc>
          <w:tcPr>
            <w:tcW w:w="5682" w:type="dxa"/>
            <w:tcBorders>
              <w:top w:val="dotted" w:sz="4" w:space="0" w:color="60A527"/>
              <w:left w:val="nil"/>
              <w:bottom w:val="dotted" w:sz="4" w:space="0" w:color="60A527"/>
              <w:right w:val="nil"/>
            </w:tcBorders>
          </w:tcPr>
          <w:p w14:paraId="289B6655"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Nivel de autosuficiencia para materias primas</w:t>
            </w:r>
          </w:p>
        </w:tc>
        <w:tc>
          <w:tcPr>
            <w:tcW w:w="1843" w:type="dxa"/>
            <w:tcBorders>
              <w:top w:val="dotted" w:sz="4" w:space="0" w:color="60A527"/>
              <w:left w:val="nil"/>
              <w:bottom w:val="dotted" w:sz="4" w:space="0" w:color="60A527"/>
              <w:right w:val="nil"/>
            </w:tcBorders>
            <w:vAlign w:val="center"/>
          </w:tcPr>
          <w:p w14:paraId="6CB19D5F" w14:textId="79B46756" w:rsidR="00E251F3" w:rsidRPr="00E251F3" w:rsidRDefault="00E251F3" w:rsidP="00E251F3">
            <w:pPr>
              <w:ind w:left="32"/>
              <w:jc w:val="center"/>
              <w:rPr>
                <w:rFonts w:ascii="Calibri" w:eastAsia="Calibri" w:hAnsi="Calibri" w:cs="Times New Roman"/>
                <w:color w:val="262626"/>
                <w:sz w:val="18"/>
              </w:rPr>
            </w:pPr>
            <w:r w:rsidRPr="00E251F3">
              <w:rPr>
                <w:rFonts w:ascii="Calibri" w:eastAsia="Calibri" w:hAnsi="Calibri" w:cs="Times New Roman"/>
                <w:color w:val="262626"/>
                <w:sz w:val="18"/>
              </w:rPr>
              <w:t xml:space="preserve">Indicador </w:t>
            </w:r>
            <w:r w:rsidRPr="00E251F3">
              <w:rPr>
                <w:rFonts w:ascii="Calibri" w:eastAsia="Calibri" w:hAnsi="Calibri" w:cs="Times New Roman"/>
                <w:color w:val="262626"/>
                <w:sz w:val="18"/>
              </w:rPr>
              <w:fldChar w:fldCharType="begin"/>
            </w:r>
            <w:r w:rsidRPr="00E251F3">
              <w:rPr>
                <w:rFonts w:ascii="Calibri" w:eastAsia="Calibri" w:hAnsi="Calibri" w:cs="Times New Roman"/>
                <w:color w:val="262626"/>
                <w:sz w:val="18"/>
              </w:rPr>
              <w:instrText xml:space="preserve"> REF _Ref7436983 \r \h  \* MERGEFORMAT </w:instrText>
            </w:r>
            <w:r w:rsidRPr="00E251F3">
              <w:rPr>
                <w:rFonts w:ascii="Calibri" w:eastAsia="Calibri" w:hAnsi="Calibri" w:cs="Times New Roman"/>
                <w:color w:val="262626"/>
                <w:sz w:val="18"/>
              </w:rPr>
            </w:r>
            <w:r w:rsidRPr="00E251F3">
              <w:rPr>
                <w:rFonts w:ascii="Calibri" w:eastAsia="Calibri" w:hAnsi="Calibri" w:cs="Times New Roman"/>
                <w:color w:val="262626"/>
                <w:sz w:val="18"/>
              </w:rPr>
              <w:fldChar w:fldCharType="separate"/>
            </w:r>
            <w:r w:rsidR="006C0251">
              <w:rPr>
                <w:rFonts w:ascii="Calibri" w:eastAsia="Calibri" w:hAnsi="Calibri" w:cs="Times New Roman"/>
                <w:b/>
                <w:bCs/>
                <w:color w:val="262626"/>
                <w:sz w:val="18"/>
              </w:rPr>
              <w:t>¡Error! No se encuentra el origen de la referencia.</w:t>
            </w:r>
            <w:r w:rsidRPr="00E251F3">
              <w:rPr>
                <w:rFonts w:ascii="Calibri" w:eastAsia="Calibri" w:hAnsi="Calibri" w:cs="Times New Roman"/>
                <w:color w:val="262626"/>
                <w:sz w:val="18"/>
              </w:rPr>
              <w:fldChar w:fldCharType="end"/>
            </w:r>
            <w:r w:rsidRPr="00E251F3">
              <w:rPr>
                <w:rFonts w:ascii="Calibri" w:eastAsia="Calibri" w:hAnsi="Calibri" w:cs="Times New Roman"/>
                <w:color w:val="262626"/>
                <w:sz w:val="18"/>
              </w:rPr>
              <w:t>*</w:t>
            </w:r>
          </w:p>
        </w:tc>
        <w:tc>
          <w:tcPr>
            <w:tcW w:w="1276" w:type="dxa"/>
            <w:tcBorders>
              <w:top w:val="dotted" w:sz="4" w:space="0" w:color="60A527"/>
              <w:left w:val="nil"/>
              <w:bottom w:val="dotted" w:sz="4" w:space="0" w:color="60A527"/>
              <w:right w:val="nil"/>
            </w:tcBorders>
          </w:tcPr>
          <w:p w14:paraId="74EF4530" w14:textId="77777777" w:rsidR="00E251F3" w:rsidRPr="00E251F3" w:rsidRDefault="00E251F3" w:rsidP="00E251F3">
            <w:pPr>
              <w:ind w:left="32"/>
              <w:jc w:val="center"/>
              <w:rPr>
                <w:rFonts w:ascii="Calibri" w:eastAsia="Calibri" w:hAnsi="Calibri" w:cs="Times New Roman"/>
                <w:color w:val="262626"/>
                <w:sz w:val="18"/>
              </w:rPr>
            </w:pPr>
            <w:r w:rsidRPr="00E251F3">
              <w:rPr>
                <w:rFonts w:ascii="Calibri" w:eastAsia="Calibri" w:hAnsi="Calibri" w:cs="Times New Roman"/>
                <w:color w:val="262626"/>
                <w:sz w:val="18"/>
              </w:rPr>
              <w:t>-</w:t>
            </w:r>
          </w:p>
        </w:tc>
      </w:tr>
      <w:tr w:rsidR="00E251F3" w:rsidRPr="00E251F3" w14:paraId="34F82B0B" w14:textId="77777777" w:rsidTr="004C6ACD">
        <w:tc>
          <w:tcPr>
            <w:tcW w:w="562" w:type="dxa"/>
            <w:tcBorders>
              <w:top w:val="dotted" w:sz="4" w:space="0" w:color="60A527"/>
              <w:left w:val="nil"/>
              <w:bottom w:val="dotted" w:sz="4" w:space="0" w:color="60A527"/>
              <w:right w:val="nil"/>
            </w:tcBorders>
            <w:vAlign w:val="center"/>
          </w:tcPr>
          <w:p w14:paraId="5EC67F65" w14:textId="77777777" w:rsidR="00E251F3" w:rsidRPr="00E251F3" w:rsidRDefault="00E251F3" w:rsidP="00E251F3">
            <w:pPr>
              <w:ind w:left="0"/>
              <w:rPr>
                <w:rFonts w:ascii="Calibri" w:eastAsia="Calibri" w:hAnsi="Calibri" w:cs="Times New Roman"/>
                <w:b/>
                <w:color w:val="5EA226"/>
                <w:sz w:val="18"/>
              </w:rPr>
            </w:pPr>
            <w:r w:rsidRPr="00E251F3">
              <w:rPr>
                <w:rFonts w:ascii="Calibri" w:eastAsia="Calibri" w:hAnsi="Calibri" w:cs="Times New Roman"/>
                <w:b/>
                <w:color w:val="5EA226"/>
                <w:sz w:val="18"/>
              </w:rPr>
              <w:t>2</w:t>
            </w:r>
          </w:p>
        </w:tc>
        <w:tc>
          <w:tcPr>
            <w:tcW w:w="5682" w:type="dxa"/>
            <w:tcBorders>
              <w:top w:val="dotted" w:sz="4" w:space="0" w:color="60A527"/>
              <w:left w:val="nil"/>
              <w:bottom w:val="dotted" w:sz="4" w:space="0" w:color="60A527"/>
              <w:right w:val="nil"/>
            </w:tcBorders>
          </w:tcPr>
          <w:p w14:paraId="00123EA1"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Compra pública verde</w:t>
            </w:r>
          </w:p>
        </w:tc>
        <w:tc>
          <w:tcPr>
            <w:tcW w:w="1843" w:type="dxa"/>
            <w:tcBorders>
              <w:top w:val="dotted" w:sz="4" w:space="0" w:color="60A527"/>
              <w:left w:val="nil"/>
              <w:bottom w:val="dotted" w:sz="4" w:space="0" w:color="60A527"/>
              <w:right w:val="nil"/>
            </w:tcBorders>
            <w:vAlign w:val="center"/>
          </w:tcPr>
          <w:p w14:paraId="56F96068" w14:textId="77777777" w:rsidR="00E251F3" w:rsidRPr="00E251F3" w:rsidRDefault="00E251F3" w:rsidP="00E251F3">
            <w:pPr>
              <w:ind w:left="32"/>
              <w:jc w:val="center"/>
              <w:rPr>
                <w:rFonts w:ascii="Calibri" w:eastAsia="Calibri" w:hAnsi="Calibri" w:cs="Times New Roman"/>
                <w:color w:val="262626"/>
                <w:sz w:val="18"/>
              </w:rPr>
            </w:pPr>
            <w:r w:rsidRPr="00E251F3">
              <w:rPr>
                <w:rFonts w:ascii="Calibri" w:eastAsia="Calibri" w:hAnsi="Calibri" w:cs="Times New Roman"/>
                <w:color w:val="262626"/>
                <w:sz w:val="18"/>
              </w:rPr>
              <w:t>1.407 licitaciones</w:t>
            </w:r>
          </w:p>
        </w:tc>
        <w:tc>
          <w:tcPr>
            <w:tcW w:w="1276" w:type="dxa"/>
            <w:tcBorders>
              <w:top w:val="dotted" w:sz="4" w:space="0" w:color="60A527"/>
              <w:left w:val="nil"/>
              <w:bottom w:val="dotted" w:sz="4" w:space="0" w:color="60A527"/>
              <w:right w:val="nil"/>
            </w:tcBorders>
            <w:vAlign w:val="center"/>
          </w:tcPr>
          <w:p w14:paraId="37F45F48" w14:textId="77777777" w:rsidR="00E251F3" w:rsidRPr="00E251F3" w:rsidRDefault="00E251F3" w:rsidP="00E251F3">
            <w:pPr>
              <w:ind w:left="32"/>
              <w:jc w:val="right"/>
              <w:rPr>
                <w:rFonts w:ascii="Calibri" w:eastAsia="Calibri" w:hAnsi="Calibri" w:cs="Times New Roman"/>
                <w:color w:val="262626"/>
                <w:sz w:val="18"/>
              </w:rPr>
            </w:pPr>
            <w:r w:rsidRPr="00E251F3">
              <w:rPr>
                <w:rFonts w:ascii="Calibri" w:eastAsia="Calibri" w:hAnsi="Calibri" w:cs="Times New Roman"/>
                <w:b/>
                <w:color w:val="3F6C19"/>
                <w:sz w:val="18"/>
              </w:rPr>
              <w:t>+51,1%</w:t>
            </w:r>
          </w:p>
        </w:tc>
      </w:tr>
      <w:tr w:rsidR="00E251F3" w:rsidRPr="00E251F3" w14:paraId="29A52FC5" w14:textId="77777777" w:rsidTr="004C6ACD">
        <w:trPr>
          <w:trHeight w:val="365"/>
        </w:trPr>
        <w:tc>
          <w:tcPr>
            <w:tcW w:w="562" w:type="dxa"/>
            <w:tcBorders>
              <w:top w:val="dotted" w:sz="4" w:space="0" w:color="60A527"/>
              <w:left w:val="nil"/>
              <w:bottom w:val="nil"/>
              <w:right w:val="nil"/>
            </w:tcBorders>
            <w:shd w:val="clear" w:color="auto" w:fill="auto"/>
            <w:vAlign w:val="center"/>
          </w:tcPr>
          <w:p w14:paraId="2F980F54" w14:textId="77777777" w:rsidR="00E251F3" w:rsidRPr="00E251F3" w:rsidRDefault="00E251F3" w:rsidP="00E251F3">
            <w:pPr>
              <w:ind w:left="0"/>
              <w:rPr>
                <w:rFonts w:ascii="Calibri" w:eastAsia="Calibri" w:hAnsi="Calibri" w:cs="Times New Roman"/>
                <w:b/>
                <w:color w:val="262626"/>
                <w:sz w:val="18"/>
              </w:rPr>
            </w:pPr>
            <w:r w:rsidRPr="00E251F3">
              <w:rPr>
                <w:rFonts w:ascii="Calibri" w:eastAsia="Calibri" w:hAnsi="Calibri" w:cs="Times New Roman"/>
                <w:b/>
                <w:color w:val="5EA226"/>
                <w:sz w:val="18"/>
              </w:rPr>
              <w:t>3</w:t>
            </w:r>
          </w:p>
        </w:tc>
        <w:tc>
          <w:tcPr>
            <w:tcW w:w="5682" w:type="dxa"/>
            <w:tcBorders>
              <w:top w:val="dotted" w:sz="4" w:space="0" w:color="60A527"/>
              <w:left w:val="nil"/>
              <w:bottom w:val="nil"/>
              <w:right w:val="nil"/>
            </w:tcBorders>
            <w:shd w:val="clear" w:color="auto" w:fill="auto"/>
            <w:vAlign w:val="center"/>
          </w:tcPr>
          <w:p w14:paraId="7790C42E"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Generación de residuos</w:t>
            </w:r>
          </w:p>
        </w:tc>
        <w:tc>
          <w:tcPr>
            <w:tcW w:w="1843" w:type="dxa"/>
            <w:tcBorders>
              <w:top w:val="dotted" w:sz="4" w:space="0" w:color="60A527"/>
              <w:left w:val="nil"/>
              <w:bottom w:val="nil"/>
              <w:right w:val="nil"/>
            </w:tcBorders>
            <w:shd w:val="clear" w:color="auto" w:fill="auto"/>
            <w:vAlign w:val="center"/>
          </w:tcPr>
          <w:p w14:paraId="07C32189" w14:textId="77777777" w:rsidR="00E251F3" w:rsidRPr="00E251F3" w:rsidRDefault="00E251F3" w:rsidP="00E251F3">
            <w:pPr>
              <w:ind w:left="32"/>
              <w:jc w:val="center"/>
              <w:rPr>
                <w:rFonts w:ascii="Calibri" w:eastAsia="Calibri" w:hAnsi="Calibri" w:cs="Times New Roman"/>
                <w:color w:val="262626"/>
                <w:sz w:val="18"/>
              </w:rPr>
            </w:pPr>
          </w:p>
        </w:tc>
        <w:tc>
          <w:tcPr>
            <w:tcW w:w="1276" w:type="dxa"/>
            <w:tcBorders>
              <w:top w:val="dotted" w:sz="4" w:space="0" w:color="60A527"/>
              <w:left w:val="nil"/>
              <w:bottom w:val="nil"/>
              <w:right w:val="nil"/>
            </w:tcBorders>
            <w:shd w:val="clear" w:color="auto" w:fill="auto"/>
            <w:vAlign w:val="center"/>
          </w:tcPr>
          <w:p w14:paraId="63EA2BF5" w14:textId="77777777" w:rsidR="00E251F3" w:rsidRPr="00E251F3" w:rsidRDefault="00E251F3" w:rsidP="00E251F3">
            <w:pPr>
              <w:ind w:left="32"/>
              <w:jc w:val="center"/>
              <w:rPr>
                <w:rFonts w:ascii="Calibri" w:eastAsia="Calibri" w:hAnsi="Calibri" w:cs="Times New Roman"/>
                <w:color w:val="262626"/>
                <w:sz w:val="18"/>
              </w:rPr>
            </w:pPr>
          </w:p>
        </w:tc>
      </w:tr>
      <w:tr w:rsidR="00E251F3" w:rsidRPr="00E251F3" w14:paraId="4ED87CF0" w14:textId="77777777" w:rsidTr="004C6ACD">
        <w:trPr>
          <w:trHeight w:val="363"/>
        </w:trPr>
        <w:tc>
          <w:tcPr>
            <w:tcW w:w="562" w:type="dxa"/>
            <w:tcBorders>
              <w:top w:val="nil"/>
              <w:left w:val="nil"/>
              <w:bottom w:val="nil"/>
              <w:right w:val="nil"/>
            </w:tcBorders>
            <w:vAlign w:val="center"/>
          </w:tcPr>
          <w:p w14:paraId="41266345"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3a</w:t>
            </w:r>
          </w:p>
        </w:tc>
        <w:tc>
          <w:tcPr>
            <w:tcW w:w="5682" w:type="dxa"/>
            <w:tcBorders>
              <w:top w:val="nil"/>
              <w:left w:val="nil"/>
              <w:bottom w:val="nil"/>
              <w:right w:val="nil"/>
            </w:tcBorders>
            <w:vAlign w:val="center"/>
          </w:tcPr>
          <w:p w14:paraId="78BB2B93"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Generación de residuos municipales per cápita</w:t>
            </w:r>
          </w:p>
        </w:tc>
        <w:tc>
          <w:tcPr>
            <w:tcW w:w="1843" w:type="dxa"/>
            <w:tcBorders>
              <w:top w:val="nil"/>
              <w:left w:val="nil"/>
              <w:bottom w:val="nil"/>
              <w:right w:val="nil"/>
            </w:tcBorders>
            <w:vAlign w:val="center"/>
          </w:tcPr>
          <w:p w14:paraId="3F839A9E" w14:textId="77777777" w:rsidR="00E251F3" w:rsidRPr="00E251F3" w:rsidRDefault="00E251F3" w:rsidP="00E251F3">
            <w:pPr>
              <w:ind w:left="32"/>
              <w:jc w:val="center"/>
              <w:rPr>
                <w:rFonts w:ascii="Calibri" w:eastAsia="Calibri" w:hAnsi="Calibri" w:cs="Times New Roman"/>
                <w:color w:val="262626"/>
                <w:sz w:val="18"/>
              </w:rPr>
            </w:pPr>
            <w:r w:rsidRPr="00E251F3">
              <w:rPr>
                <w:rFonts w:ascii="Calibri" w:eastAsia="Calibri" w:hAnsi="Calibri" w:cs="Times New Roman"/>
                <w:color w:val="262626"/>
                <w:sz w:val="18"/>
              </w:rPr>
              <w:t>544 kg/hab.</w:t>
            </w:r>
          </w:p>
        </w:tc>
        <w:tc>
          <w:tcPr>
            <w:tcW w:w="1276" w:type="dxa"/>
            <w:tcBorders>
              <w:top w:val="nil"/>
              <w:left w:val="nil"/>
              <w:bottom w:val="nil"/>
              <w:right w:val="nil"/>
            </w:tcBorders>
            <w:shd w:val="clear" w:color="auto" w:fill="auto"/>
            <w:vAlign w:val="center"/>
          </w:tcPr>
          <w:p w14:paraId="36CF6EC0" w14:textId="77777777" w:rsidR="00E251F3" w:rsidRPr="00E251F3" w:rsidRDefault="00E251F3" w:rsidP="00E251F3">
            <w:pPr>
              <w:ind w:left="32"/>
              <w:jc w:val="right"/>
              <w:rPr>
                <w:rFonts w:ascii="Calibri" w:eastAsia="Calibri" w:hAnsi="Calibri" w:cs="Times New Roman"/>
                <w:b/>
                <w:color w:val="262626"/>
                <w:sz w:val="18"/>
              </w:rPr>
            </w:pP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86912" behindDoc="0" locked="0" layoutInCell="1" allowOverlap="1" wp14:anchorId="376EF3B0" wp14:editId="2D16B737">
                      <wp:simplePos x="0" y="0"/>
                      <wp:positionH relativeFrom="column">
                        <wp:posOffset>-38100</wp:posOffset>
                      </wp:positionH>
                      <wp:positionV relativeFrom="paragraph">
                        <wp:posOffset>-421005</wp:posOffset>
                      </wp:positionV>
                      <wp:extent cx="167640" cy="123190"/>
                      <wp:effectExtent l="0" t="0" r="3810" b="0"/>
                      <wp:wrapNone/>
                      <wp:docPr id="46" name="Triángulo isósceles 46"/>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CC4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6" o:spid="_x0000_s1026" type="#_x0000_t5" style="position:absolute;margin-left:-3pt;margin-top:-33.15pt;width:13.2pt;height: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" fillcolor="#3f6d19" stroked="f" strokeweight="2pt"/>
                  </w:pict>
                </mc:Fallback>
              </mc:AlternateContent>
            </w: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29568" behindDoc="0" locked="0" layoutInCell="1" allowOverlap="1" wp14:anchorId="05F9F444" wp14:editId="5B7F7F09">
                      <wp:simplePos x="0" y="0"/>
                      <wp:positionH relativeFrom="column">
                        <wp:posOffset>-29845</wp:posOffset>
                      </wp:positionH>
                      <wp:positionV relativeFrom="paragraph">
                        <wp:posOffset>13335</wp:posOffset>
                      </wp:positionV>
                      <wp:extent cx="167640" cy="123190"/>
                      <wp:effectExtent l="0" t="0" r="3810" b="0"/>
                      <wp:wrapNone/>
                      <wp:docPr id="117" name="Triángulo isósceles 117"/>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16E8A" id="Triángulo isósceles 117" o:spid="_x0000_s1026" type="#_x0000_t5" style="position:absolute;margin-left:-2.35pt;margin-top:1.05pt;width:13.2pt;height:9.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" fillcolor="#c00000" stroked="f" strokeweight="2pt"/>
                  </w:pict>
                </mc:Fallback>
              </mc:AlternateContent>
            </w:r>
            <w:r w:rsidRPr="00E251F3">
              <w:rPr>
                <w:rFonts w:ascii="Calibri" w:eastAsia="Calibri" w:hAnsi="Calibri" w:cs="Times New Roman"/>
                <w:b/>
                <w:color w:val="C00000"/>
                <w:sz w:val="18"/>
              </w:rPr>
              <w:t>+3,1%</w:t>
            </w:r>
          </w:p>
        </w:tc>
      </w:tr>
      <w:tr w:rsidR="00E251F3" w:rsidRPr="00E251F3" w14:paraId="61F23973" w14:textId="77777777" w:rsidTr="004C6ACD">
        <w:trPr>
          <w:trHeight w:val="363"/>
        </w:trPr>
        <w:tc>
          <w:tcPr>
            <w:tcW w:w="562" w:type="dxa"/>
            <w:tcBorders>
              <w:top w:val="nil"/>
              <w:left w:val="nil"/>
              <w:bottom w:val="nil"/>
              <w:right w:val="nil"/>
            </w:tcBorders>
          </w:tcPr>
          <w:p w14:paraId="623DDE13"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3b</w:t>
            </w:r>
          </w:p>
        </w:tc>
        <w:tc>
          <w:tcPr>
            <w:tcW w:w="5682" w:type="dxa"/>
            <w:tcBorders>
              <w:top w:val="nil"/>
              <w:left w:val="nil"/>
              <w:bottom w:val="nil"/>
              <w:right w:val="nil"/>
            </w:tcBorders>
          </w:tcPr>
          <w:p w14:paraId="7A7D6567"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Generación de residuos por unidad de PIB, excluyendo los principales residuos minerales</w:t>
            </w:r>
          </w:p>
        </w:tc>
        <w:tc>
          <w:tcPr>
            <w:tcW w:w="1843" w:type="dxa"/>
            <w:tcBorders>
              <w:top w:val="nil"/>
              <w:left w:val="nil"/>
              <w:bottom w:val="nil"/>
              <w:right w:val="nil"/>
            </w:tcBorders>
            <w:vAlign w:val="center"/>
          </w:tcPr>
          <w:p w14:paraId="37A80CD7" w14:textId="77777777" w:rsidR="00E251F3" w:rsidRPr="00E251F3" w:rsidRDefault="00E251F3" w:rsidP="00E251F3">
            <w:pPr>
              <w:ind w:left="32"/>
              <w:jc w:val="center"/>
              <w:rPr>
                <w:rFonts w:ascii="Calibri" w:eastAsia="Calibri" w:hAnsi="Calibri" w:cs="Times New Roman"/>
                <w:color w:val="262626"/>
                <w:sz w:val="18"/>
              </w:rPr>
            </w:pPr>
            <w:r w:rsidRPr="00E251F3">
              <w:rPr>
                <w:rFonts w:ascii="Calibri" w:eastAsia="Calibri" w:hAnsi="Calibri" w:cs="Times New Roman"/>
                <w:color w:val="262626"/>
                <w:sz w:val="18"/>
              </w:rPr>
              <w:t>59 kg/mil euros</w:t>
            </w:r>
          </w:p>
        </w:tc>
        <w:tc>
          <w:tcPr>
            <w:tcW w:w="1276" w:type="dxa"/>
            <w:tcBorders>
              <w:top w:val="nil"/>
              <w:left w:val="nil"/>
              <w:bottom w:val="nil"/>
              <w:right w:val="nil"/>
            </w:tcBorders>
            <w:shd w:val="clear" w:color="auto" w:fill="auto"/>
            <w:vAlign w:val="center"/>
          </w:tcPr>
          <w:p w14:paraId="450167A7" w14:textId="77777777" w:rsidR="00E251F3" w:rsidRPr="00E251F3" w:rsidRDefault="00E251F3" w:rsidP="00E251F3">
            <w:pPr>
              <w:ind w:left="32"/>
              <w:jc w:val="right"/>
              <w:rPr>
                <w:rFonts w:ascii="Calibri" w:eastAsia="Calibri" w:hAnsi="Calibri" w:cs="Times New Roman"/>
                <w:b/>
                <w:color w:val="5EA226"/>
                <w:sz w:val="18"/>
              </w:rPr>
            </w:pP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27520" behindDoc="0" locked="0" layoutInCell="1" allowOverlap="1" wp14:anchorId="1BE3BDF1" wp14:editId="4539761A">
                      <wp:simplePos x="0" y="0"/>
                      <wp:positionH relativeFrom="column">
                        <wp:posOffset>-30480</wp:posOffset>
                      </wp:positionH>
                      <wp:positionV relativeFrom="paragraph">
                        <wp:posOffset>13970</wp:posOffset>
                      </wp:positionV>
                      <wp:extent cx="167640" cy="123190"/>
                      <wp:effectExtent l="0" t="0" r="3810" b="0"/>
                      <wp:wrapNone/>
                      <wp:docPr id="41" name="Triángulo isósceles 41"/>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D6DC8" id="Triángulo isósceles 41" o:spid="_x0000_s1026" type="#_x0000_t5" style="position:absolute;margin-left:-2.4pt;margin-top:1.1pt;width:13.2pt;height:9.7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" fillcolor="#3f6d19" stroked="f" strokeweight="2pt"/>
                  </w:pict>
                </mc:Fallback>
              </mc:AlternateContent>
            </w:r>
            <w:r w:rsidRPr="00E251F3">
              <w:rPr>
                <w:rFonts w:ascii="Calibri" w:eastAsia="Calibri" w:hAnsi="Calibri" w:cs="Times New Roman"/>
                <w:b/>
                <w:color w:val="3F6C19"/>
                <w:sz w:val="18"/>
              </w:rPr>
              <w:t>-1,9%</w:t>
            </w:r>
          </w:p>
        </w:tc>
      </w:tr>
      <w:tr w:rsidR="00E251F3" w:rsidRPr="00E251F3" w14:paraId="263657E8" w14:textId="77777777" w:rsidTr="004C6ACD">
        <w:trPr>
          <w:trHeight w:val="363"/>
        </w:trPr>
        <w:tc>
          <w:tcPr>
            <w:tcW w:w="562" w:type="dxa"/>
            <w:tcBorders>
              <w:top w:val="nil"/>
              <w:left w:val="nil"/>
              <w:bottom w:val="dotted" w:sz="4" w:space="0" w:color="60A527"/>
              <w:right w:val="nil"/>
            </w:tcBorders>
          </w:tcPr>
          <w:p w14:paraId="2492CB11"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3c</w:t>
            </w:r>
          </w:p>
        </w:tc>
        <w:tc>
          <w:tcPr>
            <w:tcW w:w="5682" w:type="dxa"/>
            <w:tcBorders>
              <w:top w:val="nil"/>
              <w:left w:val="nil"/>
              <w:bottom w:val="dotted" w:sz="4" w:space="0" w:color="60A527"/>
              <w:right w:val="nil"/>
            </w:tcBorders>
          </w:tcPr>
          <w:p w14:paraId="2E85204C"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Generación de residuos por unidad de CDM, excluyendo los principales residuos minerales</w:t>
            </w:r>
          </w:p>
        </w:tc>
        <w:tc>
          <w:tcPr>
            <w:tcW w:w="1843" w:type="dxa"/>
            <w:tcBorders>
              <w:top w:val="nil"/>
              <w:left w:val="nil"/>
              <w:bottom w:val="dotted" w:sz="4" w:space="0" w:color="60A527"/>
              <w:right w:val="nil"/>
            </w:tcBorders>
            <w:vAlign w:val="center"/>
          </w:tcPr>
          <w:p w14:paraId="4434C446" w14:textId="77777777" w:rsidR="00E251F3" w:rsidRPr="00E251F3" w:rsidRDefault="00E251F3" w:rsidP="00E251F3">
            <w:pPr>
              <w:ind w:left="32"/>
              <w:jc w:val="center"/>
              <w:rPr>
                <w:rFonts w:ascii="Calibri" w:eastAsia="Calibri" w:hAnsi="Calibri" w:cs="Times New Roman"/>
                <w:color w:val="262626"/>
                <w:sz w:val="18"/>
              </w:rPr>
            </w:pPr>
            <w:r w:rsidRPr="00E251F3">
              <w:rPr>
                <w:rFonts w:ascii="Calibri" w:eastAsia="Calibri" w:hAnsi="Calibri" w:cs="Times New Roman"/>
                <w:color w:val="262626"/>
                <w:sz w:val="18"/>
              </w:rPr>
              <w:t>17,4 kg/100kg CDM</w:t>
            </w:r>
          </w:p>
        </w:tc>
        <w:tc>
          <w:tcPr>
            <w:tcW w:w="1276" w:type="dxa"/>
            <w:tcBorders>
              <w:top w:val="nil"/>
              <w:left w:val="nil"/>
              <w:bottom w:val="dotted" w:sz="4" w:space="0" w:color="60A527"/>
              <w:right w:val="nil"/>
            </w:tcBorders>
            <w:shd w:val="clear" w:color="auto" w:fill="auto"/>
            <w:vAlign w:val="center"/>
          </w:tcPr>
          <w:p w14:paraId="375A81E7" w14:textId="77777777" w:rsidR="00E251F3" w:rsidRPr="00E251F3" w:rsidRDefault="00E251F3" w:rsidP="00E251F3">
            <w:pPr>
              <w:ind w:left="32"/>
              <w:jc w:val="right"/>
              <w:rPr>
                <w:rFonts w:ascii="Calibri" w:eastAsia="Calibri" w:hAnsi="Calibri" w:cs="Times New Roman"/>
                <w:color w:val="262626"/>
                <w:sz w:val="18"/>
              </w:rPr>
            </w:pP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31616" behindDoc="0" locked="0" layoutInCell="1" allowOverlap="1" wp14:anchorId="474D6306" wp14:editId="4874AA9F">
                      <wp:simplePos x="0" y="0"/>
                      <wp:positionH relativeFrom="column">
                        <wp:posOffset>-28575</wp:posOffset>
                      </wp:positionH>
                      <wp:positionV relativeFrom="paragraph">
                        <wp:posOffset>30480</wp:posOffset>
                      </wp:positionV>
                      <wp:extent cx="167640" cy="123190"/>
                      <wp:effectExtent l="0" t="0" r="3810" b="0"/>
                      <wp:wrapNone/>
                      <wp:docPr id="118" name="Triángulo isósceles 118"/>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DCA5D" id="Triángulo isósceles 118" o:spid="_x0000_s1026" type="#_x0000_t5" style="position:absolute;margin-left:-2.25pt;margin-top:2.4pt;width:13.2pt;height:9.7pt;rotation:18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" fillcolor="#3f6d19" stroked="f" strokeweight="2pt"/>
                  </w:pict>
                </mc:Fallback>
              </mc:AlternateContent>
            </w:r>
            <w:r w:rsidRPr="00E251F3">
              <w:rPr>
                <w:rFonts w:ascii="Calibri" w:eastAsia="Calibri" w:hAnsi="Calibri" w:cs="Times New Roman"/>
                <w:b/>
                <w:color w:val="3F6C19"/>
                <w:sz w:val="18"/>
              </w:rPr>
              <w:t>-21,4%**</w:t>
            </w:r>
          </w:p>
        </w:tc>
      </w:tr>
      <w:tr w:rsidR="00E251F3" w:rsidRPr="00E251F3" w14:paraId="6289DEAD" w14:textId="77777777" w:rsidTr="004C6ACD">
        <w:tc>
          <w:tcPr>
            <w:tcW w:w="562" w:type="dxa"/>
            <w:tcBorders>
              <w:top w:val="dotted" w:sz="4" w:space="0" w:color="60A527"/>
              <w:left w:val="nil"/>
              <w:bottom w:val="dotted" w:sz="4" w:space="0" w:color="60A527"/>
              <w:right w:val="nil"/>
            </w:tcBorders>
          </w:tcPr>
          <w:p w14:paraId="0DD722B8" w14:textId="77777777" w:rsidR="00E251F3" w:rsidRPr="00E251F3" w:rsidRDefault="00E251F3" w:rsidP="00E251F3">
            <w:pPr>
              <w:ind w:left="0"/>
              <w:rPr>
                <w:rFonts w:ascii="Calibri" w:eastAsia="Calibri" w:hAnsi="Calibri" w:cs="Times New Roman"/>
                <w:b/>
                <w:color w:val="262626"/>
                <w:sz w:val="18"/>
              </w:rPr>
            </w:pPr>
            <w:r w:rsidRPr="00E251F3">
              <w:rPr>
                <w:rFonts w:ascii="Calibri" w:eastAsia="Calibri" w:hAnsi="Calibri" w:cs="Times New Roman"/>
                <w:b/>
                <w:color w:val="5EA226"/>
                <w:sz w:val="18"/>
              </w:rPr>
              <w:t>4</w:t>
            </w:r>
          </w:p>
        </w:tc>
        <w:tc>
          <w:tcPr>
            <w:tcW w:w="5682" w:type="dxa"/>
            <w:tcBorders>
              <w:top w:val="dotted" w:sz="4" w:space="0" w:color="60A527"/>
              <w:left w:val="nil"/>
              <w:bottom w:val="dotted" w:sz="4" w:space="0" w:color="60A527"/>
              <w:right w:val="nil"/>
            </w:tcBorders>
          </w:tcPr>
          <w:p w14:paraId="115BB29B"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Residuos alimentarios</w:t>
            </w:r>
          </w:p>
        </w:tc>
        <w:tc>
          <w:tcPr>
            <w:tcW w:w="1843" w:type="dxa"/>
            <w:tcBorders>
              <w:top w:val="dotted" w:sz="4" w:space="0" w:color="60A527"/>
              <w:left w:val="nil"/>
              <w:bottom w:val="dotted" w:sz="4" w:space="0" w:color="60A527"/>
              <w:right w:val="nil"/>
            </w:tcBorders>
            <w:vAlign w:val="center"/>
          </w:tcPr>
          <w:p w14:paraId="05DF9BE9" w14:textId="77777777" w:rsidR="00E251F3" w:rsidRPr="00E251F3" w:rsidRDefault="00E251F3" w:rsidP="00E251F3">
            <w:pPr>
              <w:ind w:left="32"/>
              <w:jc w:val="center"/>
              <w:rPr>
                <w:rFonts w:ascii="Calibri" w:eastAsia="Calibri" w:hAnsi="Calibri" w:cs="Times New Roman"/>
                <w:color w:val="262626"/>
                <w:sz w:val="18"/>
                <w:highlight w:val="yellow"/>
              </w:rPr>
            </w:pPr>
            <w:r w:rsidRPr="00E251F3">
              <w:rPr>
                <w:rFonts w:ascii="Calibri" w:eastAsia="Calibri" w:hAnsi="Calibri" w:cs="Times New Roman"/>
                <w:color w:val="262626"/>
                <w:sz w:val="18"/>
              </w:rPr>
              <w:t>188 kg/hab.</w:t>
            </w:r>
          </w:p>
        </w:tc>
        <w:tc>
          <w:tcPr>
            <w:tcW w:w="1276" w:type="dxa"/>
            <w:tcBorders>
              <w:top w:val="dotted" w:sz="4" w:space="0" w:color="60A527"/>
              <w:left w:val="nil"/>
              <w:bottom w:val="dotted" w:sz="4" w:space="0" w:color="60A527"/>
              <w:right w:val="nil"/>
            </w:tcBorders>
            <w:shd w:val="clear" w:color="auto" w:fill="auto"/>
            <w:vAlign w:val="center"/>
          </w:tcPr>
          <w:p w14:paraId="6E6CE493" w14:textId="77777777" w:rsidR="00E251F3" w:rsidRPr="00E251F3" w:rsidRDefault="00E251F3" w:rsidP="00E251F3">
            <w:pPr>
              <w:ind w:left="32"/>
              <w:jc w:val="right"/>
              <w:rPr>
                <w:rFonts w:ascii="Calibri" w:eastAsia="Calibri" w:hAnsi="Calibri" w:cs="Times New Roman"/>
                <w:color w:val="262626"/>
                <w:sz w:val="18"/>
                <w:highlight w:val="yellow"/>
              </w:rPr>
            </w:pPr>
            <w:r w:rsidRPr="00E251F3">
              <w:rPr>
                <w:rFonts w:ascii="Calibri" w:eastAsia="Calibri" w:hAnsi="Calibri" w:cs="Times New Roman"/>
                <w:noProof/>
                <w:color w:val="C00000"/>
                <w:sz w:val="18"/>
                <w:lang w:eastAsia="es-ES"/>
              </w:rPr>
              <mc:AlternateContent>
                <mc:Choice Requires="wps">
                  <w:drawing>
                    <wp:anchor distT="0" distB="0" distL="114300" distR="114300" simplePos="0" relativeHeight="251633664" behindDoc="0" locked="0" layoutInCell="1" allowOverlap="1" wp14:anchorId="74940A6B" wp14:editId="3EC2742C">
                      <wp:simplePos x="0" y="0"/>
                      <wp:positionH relativeFrom="column">
                        <wp:posOffset>-27084</wp:posOffset>
                      </wp:positionH>
                      <wp:positionV relativeFrom="paragraph">
                        <wp:posOffset>19575</wp:posOffset>
                      </wp:positionV>
                      <wp:extent cx="167640" cy="123190"/>
                      <wp:effectExtent l="0" t="0" r="3810" b="0"/>
                      <wp:wrapNone/>
                      <wp:docPr id="142" name="Triángulo isósceles 142"/>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178CC" id="Triángulo isósceles 142" o:spid="_x0000_s1026" type="#_x0000_t5" style="position:absolute;margin-left:-2.15pt;margin-top:1.55pt;width:13.2pt;height:9.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" fillcolor="#c00000" stroked="f" strokeweight="2pt"/>
                  </w:pict>
                </mc:Fallback>
              </mc:AlternateContent>
            </w:r>
            <w:r w:rsidRPr="00E251F3">
              <w:rPr>
                <w:rFonts w:ascii="Calibri" w:eastAsia="Calibri" w:hAnsi="Calibri" w:cs="Times New Roman"/>
                <w:b/>
                <w:color w:val="C00000"/>
                <w:sz w:val="18"/>
              </w:rPr>
              <w:t>+8,8%**</w:t>
            </w:r>
          </w:p>
        </w:tc>
      </w:tr>
      <w:tr w:rsidR="00E251F3" w:rsidRPr="00E251F3" w14:paraId="62DE735E" w14:textId="77777777" w:rsidTr="00E251F3">
        <w:tc>
          <w:tcPr>
            <w:tcW w:w="6244" w:type="dxa"/>
            <w:gridSpan w:val="2"/>
            <w:tcBorders>
              <w:top w:val="dotted" w:sz="4" w:space="0" w:color="60A527"/>
              <w:left w:val="nil"/>
              <w:bottom w:val="dotted" w:sz="4" w:space="0" w:color="60A527"/>
              <w:right w:val="nil"/>
            </w:tcBorders>
            <w:shd w:val="clear" w:color="auto" w:fill="B1E389"/>
          </w:tcPr>
          <w:p w14:paraId="5E3075AD" w14:textId="77777777" w:rsidR="00E251F3" w:rsidRPr="00E251F3" w:rsidRDefault="00E251F3" w:rsidP="00E251F3">
            <w:pPr>
              <w:ind w:left="175"/>
              <w:rPr>
                <w:rFonts w:ascii="Calibri" w:eastAsia="Calibri" w:hAnsi="Calibri" w:cs="Times New Roman"/>
                <w:b/>
                <w:color w:val="262626"/>
                <w:sz w:val="18"/>
              </w:rPr>
            </w:pPr>
            <w:r w:rsidRPr="00E251F3">
              <w:rPr>
                <w:rFonts w:ascii="Calibri" w:eastAsia="Calibri" w:hAnsi="Calibri" w:cs="Times New Roman"/>
                <w:b/>
                <w:color w:val="3F6C19"/>
                <w:sz w:val="18"/>
              </w:rPr>
              <w:t>Gestión de residuos</w:t>
            </w:r>
          </w:p>
        </w:tc>
        <w:tc>
          <w:tcPr>
            <w:tcW w:w="1843" w:type="dxa"/>
            <w:tcBorders>
              <w:top w:val="dotted" w:sz="4" w:space="0" w:color="60A527"/>
              <w:left w:val="nil"/>
              <w:bottom w:val="dotted" w:sz="4" w:space="0" w:color="60A527"/>
              <w:right w:val="nil"/>
            </w:tcBorders>
            <w:shd w:val="clear" w:color="auto" w:fill="B1E389"/>
            <w:vAlign w:val="center"/>
          </w:tcPr>
          <w:p w14:paraId="041F5E18" w14:textId="77777777" w:rsidR="00E251F3" w:rsidRPr="00E251F3" w:rsidRDefault="00E251F3" w:rsidP="00E251F3">
            <w:pPr>
              <w:ind w:left="-111"/>
              <w:jc w:val="center"/>
              <w:rPr>
                <w:rFonts w:ascii="Calibri" w:eastAsia="Calibri" w:hAnsi="Calibri" w:cs="Times New Roman"/>
                <w:color w:val="262626"/>
                <w:sz w:val="18"/>
              </w:rPr>
            </w:pPr>
            <w:r w:rsidRPr="00E251F3">
              <w:rPr>
                <w:rFonts w:ascii="Calibri" w:eastAsia="Calibri" w:hAnsi="Calibri" w:cs="Times New Roman"/>
                <w:b/>
                <w:color w:val="3F6C19"/>
                <w:sz w:val="18"/>
              </w:rPr>
              <w:t>2018</w:t>
            </w:r>
          </w:p>
        </w:tc>
        <w:tc>
          <w:tcPr>
            <w:tcW w:w="1276" w:type="dxa"/>
            <w:tcBorders>
              <w:top w:val="dotted" w:sz="4" w:space="0" w:color="60A527"/>
              <w:left w:val="nil"/>
              <w:bottom w:val="dotted" w:sz="4" w:space="0" w:color="60A527"/>
              <w:right w:val="nil"/>
            </w:tcBorders>
            <w:shd w:val="clear" w:color="auto" w:fill="B1E389"/>
            <w:vAlign w:val="center"/>
          </w:tcPr>
          <w:p w14:paraId="426975F1" w14:textId="77777777" w:rsidR="00E251F3" w:rsidRPr="00E251F3" w:rsidRDefault="00E251F3" w:rsidP="00E251F3">
            <w:pPr>
              <w:ind w:left="-111"/>
              <w:jc w:val="center"/>
              <w:rPr>
                <w:rFonts w:ascii="Calibri" w:eastAsia="Calibri" w:hAnsi="Calibri" w:cs="Times New Roman"/>
                <w:color w:val="262626"/>
                <w:sz w:val="18"/>
              </w:rPr>
            </w:pPr>
            <w:r w:rsidRPr="00E251F3">
              <w:rPr>
                <w:rFonts w:ascii="Calibri" w:eastAsia="Calibri" w:hAnsi="Calibri" w:cs="Times New Roman"/>
                <w:b/>
                <w:color w:val="3F6C19"/>
                <w:sz w:val="18"/>
              </w:rPr>
              <w:t>Respecto 2017</w:t>
            </w:r>
          </w:p>
        </w:tc>
      </w:tr>
      <w:tr w:rsidR="00E251F3" w:rsidRPr="00E251F3" w14:paraId="0AEF56DB" w14:textId="77777777" w:rsidTr="004C6ACD">
        <w:trPr>
          <w:trHeight w:val="326"/>
        </w:trPr>
        <w:tc>
          <w:tcPr>
            <w:tcW w:w="562" w:type="dxa"/>
            <w:tcBorders>
              <w:top w:val="dotted" w:sz="4" w:space="0" w:color="60A527"/>
              <w:left w:val="nil"/>
              <w:bottom w:val="nil"/>
              <w:right w:val="nil"/>
            </w:tcBorders>
            <w:shd w:val="clear" w:color="auto" w:fill="auto"/>
            <w:vAlign w:val="center"/>
          </w:tcPr>
          <w:p w14:paraId="0AFCCEAB" w14:textId="77777777" w:rsidR="00E251F3" w:rsidRPr="00E251F3" w:rsidRDefault="00E251F3" w:rsidP="00E251F3">
            <w:pPr>
              <w:ind w:left="0"/>
              <w:rPr>
                <w:rFonts w:ascii="Calibri" w:eastAsia="Calibri" w:hAnsi="Calibri" w:cs="Times New Roman"/>
                <w:b/>
                <w:color w:val="262626"/>
                <w:sz w:val="18"/>
              </w:rPr>
            </w:pPr>
            <w:r w:rsidRPr="00E251F3">
              <w:rPr>
                <w:rFonts w:ascii="Calibri" w:eastAsia="Calibri" w:hAnsi="Calibri" w:cs="Times New Roman"/>
                <w:b/>
                <w:color w:val="5EA226"/>
                <w:sz w:val="18"/>
              </w:rPr>
              <w:t>5</w:t>
            </w:r>
          </w:p>
        </w:tc>
        <w:tc>
          <w:tcPr>
            <w:tcW w:w="5682" w:type="dxa"/>
            <w:tcBorders>
              <w:top w:val="dotted" w:sz="4" w:space="0" w:color="60A527"/>
              <w:left w:val="nil"/>
              <w:bottom w:val="nil"/>
              <w:right w:val="nil"/>
            </w:tcBorders>
            <w:shd w:val="clear" w:color="auto" w:fill="auto"/>
            <w:vAlign w:val="center"/>
          </w:tcPr>
          <w:p w14:paraId="1F9130B8"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Tasas de reciclaje</w:t>
            </w:r>
          </w:p>
        </w:tc>
        <w:tc>
          <w:tcPr>
            <w:tcW w:w="1843" w:type="dxa"/>
            <w:tcBorders>
              <w:top w:val="dotted" w:sz="4" w:space="0" w:color="60A527"/>
              <w:left w:val="nil"/>
              <w:bottom w:val="nil"/>
              <w:right w:val="nil"/>
            </w:tcBorders>
            <w:shd w:val="clear" w:color="auto" w:fill="auto"/>
            <w:vAlign w:val="center"/>
          </w:tcPr>
          <w:p w14:paraId="2006B7F8" w14:textId="77777777" w:rsidR="00E251F3" w:rsidRPr="00E251F3" w:rsidRDefault="00E251F3" w:rsidP="00E251F3">
            <w:pPr>
              <w:ind w:left="0"/>
              <w:jc w:val="center"/>
              <w:rPr>
                <w:rFonts w:ascii="Calibri" w:eastAsia="Calibri" w:hAnsi="Calibri" w:cs="Times New Roman"/>
                <w:color w:val="262626"/>
                <w:sz w:val="18"/>
              </w:rPr>
            </w:pPr>
          </w:p>
        </w:tc>
        <w:tc>
          <w:tcPr>
            <w:tcW w:w="1276" w:type="dxa"/>
            <w:tcBorders>
              <w:top w:val="dotted" w:sz="4" w:space="0" w:color="60A527"/>
              <w:left w:val="nil"/>
              <w:bottom w:val="nil"/>
              <w:right w:val="nil"/>
            </w:tcBorders>
            <w:shd w:val="clear" w:color="auto" w:fill="auto"/>
            <w:vAlign w:val="center"/>
          </w:tcPr>
          <w:p w14:paraId="3CCC769E" w14:textId="77777777" w:rsidR="00E251F3" w:rsidRPr="00E251F3" w:rsidRDefault="00E251F3" w:rsidP="00E251F3">
            <w:pPr>
              <w:ind w:left="0"/>
              <w:jc w:val="center"/>
              <w:rPr>
                <w:rFonts w:ascii="Calibri" w:eastAsia="Calibri" w:hAnsi="Calibri" w:cs="Times New Roman"/>
                <w:color w:val="262626"/>
                <w:sz w:val="18"/>
              </w:rPr>
            </w:pPr>
          </w:p>
        </w:tc>
      </w:tr>
      <w:tr w:rsidR="00E251F3" w:rsidRPr="00E251F3" w14:paraId="4B194C71" w14:textId="77777777" w:rsidTr="004C6ACD">
        <w:trPr>
          <w:trHeight w:val="326"/>
        </w:trPr>
        <w:tc>
          <w:tcPr>
            <w:tcW w:w="562" w:type="dxa"/>
            <w:tcBorders>
              <w:top w:val="nil"/>
              <w:left w:val="nil"/>
              <w:bottom w:val="nil"/>
              <w:right w:val="nil"/>
            </w:tcBorders>
            <w:vAlign w:val="center"/>
          </w:tcPr>
          <w:p w14:paraId="1AE3BFAA"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5a</w:t>
            </w:r>
          </w:p>
        </w:tc>
        <w:tc>
          <w:tcPr>
            <w:tcW w:w="5682" w:type="dxa"/>
            <w:tcBorders>
              <w:top w:val="nil"/>
              <w:left w:val="nil"/>
              <w:bottom w:val="nil"/>
              <w:right w:val="nil"/>
            </w:tcBorders>
            <w:vAlign w:val="center"/>
          </w:tcPr>
          <w:p w14:paraId="2E3CA7C3"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 xml:space="preserve">Tasa de reciclaje de residuos municipales </w:t>
            </w:r>
          </w:p>
        </w:tc>
        <w:tc>
          <w:tcPr>
            <w:tcW w:w="1843" w:type="dxa"/>
            <w:tcBorders>
              <w:top w:val="nil"/>
              <w:left w:val="nil"/>
              <w:bottom w:val="nil"/>
              <w:right w:val="nil"/>
            </w:tcBorders>
            <w:vAlign w:val="center"/>
          </w:tcPr>
          <w:p w14:paraId="67FCB6DC"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38 %</w:t>
            </w:r>
          </w:p>
        </w:tc>
        <w:tc>
          <w:tcPr>
            <w:tcW w:w="1276" w:type="dxa"/>
            <w:tcBorders>
              <w:top w:val="nil"/>
              <w:left w:val="nil"/>
              <w:bottom w:val="nil"/>
              <w:right w:val="nil"/>
            </w:tcBorders>
            <w:shd w:val="clear" w:color="auto" w:fill="auto"/>
            <w:vAlign w:val="center"/>
          </w:tcPr>
          <w:p w14:paraId="64FFF9A6" w14:textId="77777777" w:rsidR="00E251F3" w:rsidRPr="00E251F3" w:rsidRDefault="00E251F3" w:rsidP="00E251F3">
            <w:pPr>
              <w:ind w:left="0"/>
              <w:jc w:val="right"/>
              <w:rPr>
                <w:rFonts w:ascii="Calibri" w:eastAsia="Calibri" w:hAnsi="Calibri" w:cs="Times New Roman"/>
                <w:color w:val="3F6C19"/>
                <w:sz w:val="18"/>
              </w:rPr>
            </w:pP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35712" behindDoc="0" locked="0" layoutInCell="1" allowOverlap="1" wp14:anchorId="096279C3" wp14:editId="44EF90BA">
                      <wp:simplePos x="0" y="0"/>
                      <wp:positionH relativeFrom="column">
                        <wp:posOffset>-28575</wp:posOffset>
                      </wp:positionH>
                      <wp:positionV relativeFrom="paragraph">
                        <wp:posOffset>22860</wp:posOffset>
                      </wp:positionV>
                      <wp:extent cx="167640" cy="123190"/>
                      <wp:effectExtent l="0" t="0" r="3810" b="0"/>
                      <wp:wrapNone/>
                      <wp:docPr id="143" name="Triángulo isósceles 143"/>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36B6" id="Triángulo isósceles 143" o:spid="_x0000_s1026" type="#_x0000_t5" style="position:absolute;margin-left:-2.25pt;margin-top:1.8pt;width:13.2pt;height:9.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" fillcolor="#3f6d19" stroked="f" strokeweight="2pt"/>
                  </w:pict>
                </mc:Fallback>
              </mc:AlternateContent>
            </w:r>
            <w:r w:rsidRPr="00E251F3">
              <w:rPr>
                <w:rFonts w:ascii="Calibri" w:eastAsia="Calibri" w:hAnsi="Calibri" w:cs="Times New Roman"/>
                <w:b/>
                <w:color w:val="3F6C19"/>
                <w:sz w:val="18"/>
              </w:rPr>
              <w:t>+1,4 pp</w:t>
            </w:r>
          </w:p>
        </w:tc>
      </w:tr>
      <w:tr w:rsidR="00E251F3" w:rsidRPr="00E251F3" w14:paraId="66A1F6AD" w14:textId="77777777" w:rsidTr="004C6ACD">
        <w:trPr>
          <w:trHeight w:val="326"/>
        </w:trPr>
        <w:tc>
          <w:tcPr>
            <w:tcW w:w="562" w:type="dxa"/>
            <w:tcBorders>
              <w:top w:val="nil"/>
              <w:left w:val="nil"/>
              <w:bottom w:val="dotted" w:sz="4" w:space="0" w:color="60A527"/>
              <w:right w:val="nil"/>
            </w:tcBorders>
          </w:tcPr>
          <w:p w14:paraId="24965D8D"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5b</w:t>
            </w:r>
          </w:p>
        </w:tc>
        <w:tc>
          <w:tcPr>
            <w:tcW w:w="5682" w:type="dxa"/>
            <w:tcBorders>
              <w:top w:val="nil"/>
              <w:left w:val="nil"/>
              <w:bottom w:val="dotted" w:sz="4" w:space="0" w:color="60A527"/>
              <w:right w:val="nil"/>
            </w:tcBorders>
          </w:tcPr>
          <w:p w14:paraId="378F9D2D"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Tasa de reciclaje de todos los residuos excluyendo los principales residuos minerales</w:t>
            </w:r>
          </w:p>
        </w:tc>
        <w:tc>
          <w:tcPr>
            <w:tcW w:w="1843" w:type="dxa"/>
            <w:tcBorders>
              <w:top w:val="nil"/>
              <w:left w:val="nil"/>
              <w:bottom w:val="dotted" w:sz="4" w:space="0" w:color="60A527"/>
              <w:right w:val="nil"/>
            </w:tcBorders>
            <w:vAlign w:val="center"/>
          </w:tcPr>
          <w:p w14:paraId="1B8D8E9B"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52 %</w:t>
            </w:r>
          </w:p>
        </w:tc>
        <w:tc>
          <w:tcPr>
            <w:tcW w:w="1276" w:type="dxa"/>
            <w:tcBorders>
              <w:top w:val="nil"/>
              <w:left w:val="nil"/>
              <w:bottom w:val="dotted" w:sz="4" w:space="0" w:color="60A527"/>
              <w:right w:val="nil"/>
            </w:tcBorders>
            <w:shd w:val="clear" w:color="auto" w:fill="auto"/>
            <w:vAlign w:val="center"/>
          </w:tcPr>
          <w:p w14:paraId="20A4A02F" w14:textId="77777777" w:rsidR="00E251F3" w:rsidRPr="00E251F3" w:rsidRDefault="00E251F3" w:rsidP="00E251F3">
            <w:pPr>
              <w:ind w:left="0"/>
              <w:jc w:val="right"/>
              <w:rPr>
                <w:rFonts w:ascii="Calibri" w:eastAsia="Calibri" w:hAnsi="Calibri" w:cs="Times New Roman"/>
                <w:color w:val="262626"/>
                <w:sz w:val="18"/>
                <w:highlight w:val="yellow"/>
              </w:rPr>
            </w:pPr>
            <w:r w:rsidRPr="00E251F3">
              <w:rPr>
                <w:rFonts w:ascii="Calibri" w:eastAsia="Calibri" w:hAnsi="Calibri" w:cs="Times New Roman"/>
                <w:noProof/>
                <w:color w:val="C00000"/>
                <w:sz w:val="18"/>
                <w:lang w:eastAsia="es-ES"/>
              </w:rPr>
              <mc:AlternateContent>
                <mc:Choice Requires="wps">
                  <w:drawing>
                    <wp:anchor distT="0" distB="0" distL="114300" distR="114300" simplePos="0" relativeHeight="251637760" behindDoc="0" locked="0" layoutInCell="1" allowOverlap="1" wp14:anchorId="0BC5294F" wp14:editId="35901A1F">
                      <wp:simplePos x="0" y="0"/>
                      <wp:positionH relativeFrom="column">
                        <wp:posOffset>-28575</wp:posOffset>
                      </wp:positionH>
                      <wp:positionV relativeFrom="paragraph">
                        <wp:posOffset>38100</wp:posOffset>
                      </wp:positionV>
                      <wp:extent cx="167640" cy="123190"/>
                      <wp:effectExtent l="0" t="0" r="3810" b="0"/>
                      <wp:wrapNone/>
                      <wp:docPr id="147" name="Triángulo isósceles 147"/>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DDA6A" id="Triángulo isósceles 147" o:spid="_x0000_s1026" type="#_x0000_t5" style="position:absolute;margin-left:-2.25pt;margin-top:3pt;width:13.2pt;height:9.7pt;rotation:18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" fillcolor="#c00000" stroked="f" strokeweight="2pt"/>
                  </w:pict>
                </mc:Fallback>
              </mc:AlternateContent>
            </w:r>
            <w:r w:rsidRPr="00E251F3">
              <w:rPr>
                <w:rFonts w:ascii="Calibri" w:eastAsia="Calibri" w:hAnsi="Calibri" w:cs="Times New Roman"/>
                <w:b/>
                <w:color w:val="C00000"/>
                <w:sz w:val="18"/>
              </w:rPr>
              <w:t>-0,6 pp</w:t>
            </w:r>
          </w:p>
        </w:tc>
      </w:tr>
      <w:tr w:rsidR="00E251F3" w:rsidRPr="00E251F3" w14:paraId="5065FB40" w14:textId="77777777" w:rsidTr="004C6ACD">
        <w:trPr>
          <w:trHeight w:val="246"/>
        </w:trPr>
        <w:tc>
          <w:tcPr>
            <w:tcW w:w="562" w:type="dxa"/>
            <w:tcBorders>
              <w:top w:val="dotted" w:sz="4" w:space="0" w:color="60A527"/>
              <w:left w:val="nil"/>
              <w:bottom w:val="nil"/>
              <w:right w:val="nil"/>
            </w:tcBorders>
            <w:shd w:val="clear" w:color="auto" w:fill="auto"/>
            <w:vAlign w:val="center"/>
          </w:tcPr>
          <w:p w14:paraId="6E812F40" w14:textId="77777777" w:rsidR="00E251F3" w:rsidRPr="00E251F3" w:rsidRDefault="00E251F3" w:rsidP="00E251F3">
            <w:pPr>
              <w:ind w:left="0"/>
              <w:rPr>
                <w:rFonts w:ascii="Calibri" w:eastAsia="Calibri" w:hAnsi="Calibri" w:cs="Times New Roman"/>
                <w:b/>
                <w:color w:val="5EA226"/>
                <w:sz w:val="18"/>
              </w:rPr>
            </w:pPr>
            <w:r w:rsidRPr="00E251F3">
              <w:rPr>
                <w:rFonts w:ascii="Calibri" w:eastAsia="Calibri" w:hAnsi="Calibri" w:cs="Times New Roman"/>
                <w:b/>
                <w:color w:val="5EA226"/>
                <w:sz w:val="18"/>
              </w:rPr>
              <w:t>6</w:t>
            </w:r>
          </w:p>
        </w:tc>
        <w:tc>
          <w:tcPr>
            <w:tcW w:w="5682" w:type="dxa"/>
            <w:tcBorders>
              <w:top w:val="dotted" w:sz="4" w:space="0" w:color="60A527"/>
              <w:left w:val="nil"/>
              <w:bottom w:val="nil"/>
              <w:right w:val="nil"/>
            </w:tcBorders>
            <w:shd w:val="clear" w:color="auto" w:fill="auto"/>
          </w:tcPr>
          <w:p w14:paraId="6CFE935F"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 xml:space="preserve">Tasas de reciclaje de flujos de residuos específicos </w:t>
            </w:r>
          </w:p>
        </w:tc>
        <w:tc>
          <w:tcPr>
            <w:tcW w:w="1843" w:type="dxa"/>
            <w:tcBorders>
              <w:top w:val="dotted" w:sz="4" w:space="0" w:color="60A527"/>
              <w:left w:val="nil"/>
              <w:bottom w:val="nil"/>
              <w:right w:val="nil"/>
            </w:tcBorders>
            <w:shd w:val="clear" w:color="auto" w:fill="auto"/>
          </w:tcPr>
          <w:p w14:paraId="7D689DB7" w14:textId="77777777" w:rsidR="00E251F3" w:rsidRPr="00E251F3" w:rsidRDefault="00E251F3" w:rsidP="00E251F3">
            <w:pPr>
              <w:ind w:left="0"/>
              <w:rPr>
                <w:rFonts w:ascii="Calibri" w:eastAsia="Calibri" w:hAnsi="Calibri" w:cs="Times New Roman"/>
                <w:color w:val="262626"/>
                <w:sz w:val="18"/>
              </w:rPr>
            </w:pPr>
          </w:p>
        </w:tc>
        <w:tc>
          <w:tcPr>
            <w:tcW w:w="1276" w:type="dxa"/>
            <w:tcBorders>
              <w:top w:val="dotted" w:sz="4" w:space="0" w:color="60A527"/>
              <w:left w:val="nil"/>
              <w:bottom w:val="nil"/>
              <w:right w:val="nil"/>
            </w:tcBorders>
            <w:shd w:val="clear" w:color="auto" w:fill="auto"/>
          </w:tcPr>
          <w:p w14:paraId="31777F93" w14:textId="77777777" w:rsidR="00E251F3" w:rsidRPr="00E251F3" w:rsidRDefault="00E251F3" w:rsidP="00E251F3">
            <w:pPr>
              <w:ind w:left="0"/>
              <w:rPr>
                <w:rFonts w:ascii="Calibri" w:eastAsia="Calibri" w:hAnsi="Calibri" w:cs="Times New Roman"/>
                <w:color w:val="262626"/>
                <w:sz w:val="18"/>
              </w:rPr>
            </w:pPr>
          </w:p>
        </w:tc>
      </w:tr>
      <w:tr w:rsidR="00E251F3" w:rsidRPr="00E251F3" w14:paraId="55695777" w14:textId="77777777" w:rsidTr="004C6ACD">
        <w:trPr>
          <w:trHeight w:val="242"/>
        </w:trPr>
        <w:tc>
          <w:tcPr>
            <w:tcW w:w="562" w:type="dxa"/>
            <w:tcBorders>
              <w:top w:val="nil"/>
              <w:left w:val="nil"/>
              <w:bottom w:val="nil"/>
              <w:right w:val="nil"/>
            </w:tcBorders>
          </w:tcPr>
          <w:p w14:paraId="73649FB6"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6a</w:t>
            </w:r>
          </w:p>
        </w:tc>
        <w:tc>
          <w:tcPr>
            <w:tcW w:w="5682" w:type="dxa"/>
            <w:tcBorders>
              <w:top w:val="nil"/>
              <w:left w:val="nil"/>
              <w:bottom w:val="nil"/>
              <w:right w:val="nil"/>
            </w:tcBorders>
          </w:tcPr>
          <w:p w14:paraId="765004AC"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Tasa de reciclaje de envases en general (2016)</w:t>
            </w:r>
          </w:p>
        </w:tc>
        <w:tc>
          <w:tcPr>
            <w:tcW w:w="1843" w:type="dxa"/>
            <w:tcBorders>
              <w:top w:val="nil"/>
              <w:left w:val="nil"/>
              <w:bottom w:val="nil"/>
              <w:right w:val="nil"/>
            </w:tcBorders>
            <w:vAlign w:val="center"/>
          </w:tcPr>
          <w:p w14:paraId="76D0288D"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78 %</w:t>
            </w:r>
          </w:p>
        </w:tc>
        <w:tc>
          <w:tcPr>
            <w:tcW w:w="1276" w:type="dxa"/>
            <w:tcBorders>
              <w:top w:val="nil"/>
              <w:left w:val="nil"/>
              <w:bottom w:val="nil"/>
              <w:right w:val="nil"/>
            </w:tcBorders>
            <w:shd w:val="clear" w:color="auto" w:fill="auto"/>
            <w:vAlign w:val="center"/>
          </w:tcPr>
          <w:p w14:paraId="2AB0A2FC" w14:textId="77777777" w:rsidR="00E251F3" w:rsidRPr="00E251F3" w:rsidRDefault="00E251F3" w:rsidP="00E251F3">
            <w:pPr>
              <w:ind w:left="32"/>
              <w:jc w:val="right"/>
              <w:rPr>
                <w:rFonts w:ascii="Calibri" w:eastAsia="Calibri" w:hAnsi="Calibri" w:cs="Times New Roman"/>
                <w:b/>
                <w:color w:val="C00000"/>
                <w:sz w:val="18"/>
              </w:rPr>
            </w:pP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39808" behindDoc="0" locked="0" layoutInCell="1" allowOverlap="1" wp14:anchorId="79BA37F8" wp14:editId="7446D5F9">
                      <wp:simplePos x="0" y="0"/>
                      <wp:positionH relativeFrom="column">
                        <wp:posOffset>-28575</wp:posOffset>
                      </wp:positionH>
                      <wp:positionV relativeFrom="paragraph">
                        <wp:posOffset>20320</wp:posOffset>
                      </wp:positionV>
                      <wp:extent cx="167640" cy="123190"/>
                      <wp:effectExtent l="0" t="0" r="3810" b="0"/>
                      <wp:wrapNone/>
                      <wp:docPr id="148" name="Triángulo isósceles 148"/>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1E9F2" id="Triángulo isósceles 148" o:spid="_x0000_s1026" type="#_x0000_t5" style="position:absolute;margin-left:-2.25pt;margin-top:1.6pt;width:13.2pt;height:9.7pt;rotation:18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" fillcolor="#c00000" stroked="f" strokeweight="2pt"/>
                  </w:pict>
                </mc:Fallback>
              </mc:AlternateContent>
            </w:r>
            <w:r w:rsidRPr="00E251F3">
              <w:rPr>
                <w:rFonts w:ascii="Calibri" w:eastAsia="Calibri" w:hAnsi="Calibri" w:cs="Times New Roman"/>
                <w:b/>
                <w:color w:val="C00000"/>
                <w:sz w:val="18"/>
              </w:rPr>
              <w:t>-1,2 pp</w:t>
            </w:r>
          </w:p>
        </w:tc>
      </w:tr>
      <w:tr w:rsidR="00E251F3" w:rsidRPr="00E251F3" w14:paraId="31CAD997" w14:textId="77777777" w:rsidTr="004C6ACD">
        <w:trPr>
          <w:trHeight w:val="242"/>
        </w:trPr>
        <w:tc>
          <w:tcPr>
            <w:tcW w:w="562" w:type="dxa"/>
            <w:tcBorders>
              <w:top w:val="nil"/>
              <w:left w:val="nil"/>
              <w:bottom w:val="nil"/>
              <w:right w:val="nil"/>
            </w:tcBorders>
          </w:tcPr>
          <w:p w14:paraId="454D59BB"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6b</w:t>
            </w:r>
          </w:p>
        </w:tc>
        <w:tc>
          <w:tcPr>
            <w:tcW w:w="5682" w:type="dxa"/>
            <w:tcBorders>
              <w:top w:val="nil"/>
              <w:left w:val="nil"/>
              <w:bottom w:val="nil"/>
              <w:right w:val="nil"/>
            </w:tcBorders>
          </w:tcPr>
          <w:p w14:paraId="43782B2F"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Tasa de reciclaje de envases de plástico (2016)</w:t>
            </w:r>
          </w:p>
        </w:tc>
        <w:tc>
          <w:tcPr>
            <w:tcW w:w="1843" w:type="dxa"/>
            <w:tcBorders>
              <w:top w:val="nil"/>
              <w:left w:val="nil"/>
              <w:bottom w:val="nil"/>
              <w:right w:val="nil"/>
            </w:tcBorders>
            <w:vAlign w:val="center"/>
          </w:tcPr>
          <w:p w14:paraId="741D7227"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81 %</w:t>
            </w:r>
          </w:p>
        </w:tc>
        <w:tc>
          <w:tcPr>
            <w:tcW w:w="1276" w:type="dxa"/>
            <w:tcBorders>
              <w:top w:val="nil"/>
              <w:left w:val="nil"/>
              <w:bottom w:val="nil"/>
              <w:right w:val="nil"/>
            </w:tcBorders>
            <w:shd w:val="clear" w:color="auto" w:fill="auto"/>
            <w:vAlign w:val="center"/>
          </w:tcPr>
          <w:p w14:paraId="28B13855" w14:textId="77777777" w:rsidR="00E251F3" w:rsidRPr="00E251F3" w:rsidRDefault="00E251F3" w:rsidP="00E251F3">
            <w:pPr>
              <w:ind w:left="0"/>
              <w:jc w:val="right"/>
              <w:rPr>
                <w:rFonts w:ascii="Calibri" w:eastAsia="Calibri" w:hAnsi="Calibri" w:cs="Times New Roman"/>
                <w:b/>
                <w:color w:val="3F6C19"/>
                <w:sz w:val="18"/>
              </w:rPr>
            </w:pP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43904" behindDoc="0" locked="0" layoutInCell="1" allowOverlap="1" wp14:anchorId="01DCCEB6" wp14:editId="5C8BB2EF">
                      <wp:simplePos x="0" y="0"/>
                      <wp:positionH relativeFrom="column">
                        <wp:posOffset>-27305</wp:posOffset>
                      </wp:positionH>
                      <wp:positionV relativeFrom="paragraph">
                        <wp:posOffset>13335</wp:posOffset>
                      </wp:positionV>
                      <wp:extent cx="167640" cy="123190"/>
                      <wp:effectExtent l="0" t="0" r="3810" b="0"/>
                      <wp:wrapNone/>
                      <wp:docPr id="10" name="Triángulo isósceles 10"/>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6A997" id="Triángulo isósceles 10" o:spid="_x0000_s1026" type="#_x0000_t5" style="position:absolute;margin-left:-2.15pt;margin-top:1.05pt;width:13.2pt;height:9.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" fillcolor="#3f6d19" stroked="f" strokeweight="2pt"/>
                  </w:pict>
                </mc:Fallback>
              </mc:AlternateContent>
            </w:r>
            <w:r w:rsidRPr="00E251F3">
              <w:rPr>
                <w:rFonts w:ascii="Calibri" w:eastAsia="Calibri" w:hAnsi="Calibri" w:cs="Times New Roman"/>
                <w:b/>
                <w:color w:val="3F6C19"/>
                <w:sz w:val="18"/>
              </w:rPr>
              <w:t>+1,6 pp</w:t>
            </w:r>
          </w:p>
        </w:tc>
      </w:tr>
      <w:tr w:rsidR="00E251F3" w:rsidRPr="00E251F3" w14:paraId="35FA2179" w14:textId="77777777" w:rsidTr="004C6ACD">
        <w:trPr>
          <w:trHeight w:val="242"/>
        </w:trPr>
        <w:tc>
          <w:tcPr>
            <w:tcW w:w="562" w:type="dxa"/>
            <w:tcBorders>
              <w:top w:val="nil"/>
              <w:left w:val="nil"/>
              <w:bottom w:val="nil"/>
              <w:right w:val="nil"/>
            </w:tcBorders>
          </w:tcPr>
          <w:p w14:paraId="4E0A3EFC"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6c</w:t>
            </w:r>
          </w:p>
        </w:tc>
        <w:tc>
          <w:tcPr>
            <w:tcW w:w="5682" w:type="dxa"/>
            <w:tcBorders>
              <w:top w:val="nil"/>
              <w:left w:val="nil"/>
              <w:bottom w:val="nil"/>
              <w:right w:val="nil"/>
            </w:tcBorders>
          </w:tcPr>
          <w:p w14:paraId="7A1F2E2C"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Tasa de reciclaje de envases de madera (2016)</w:t>
            </w:r>
          </w:p>
        </w:tc>
        <w:tc>
          <w:tcPr>
            <w:tcW w:w="1843" w:type="dxa"/>
            <w:tcBorders>
              <w:top w:val="nil"/>
              <w:left w:val="nil"/>
              <w:bottom w:val="nil"/>
              <w:right w:val="nil"/>
            </w:tcBorders>
            <w:vAlign w:val="center"/>
          </w:tcPr>
          <w:p w14:paraId="193B4C04"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63 %</w:t>
            </w:r>
          </w:p>
        </w:tc>
        <w:tc>
          <w:tcPr>
            <w:tcW w:w="1276" w:type="dxa"/>
            <w:tcBorders>
              <w:top w:val="nil"/>
              <w:left w:val="nil"/>
              <w:bottom w:val="nil"/>
              <w:right w:val="nil"/>
            </w:tcBorders>
            <w:shd w:val="clear" w:color="auto" w:fill="auto"/>
            <w:vAlign w:val="center"/>
          </w:tcPr>
          <w:p w14:paraId="12DFFD03" w14:textId="77777777" w:rsidR="00E251F3" w:rsidRPr="00E251F3" w:rsidRDefault="00E251F3" w:rsidP="00E251F3">
            <w:pPr>
              <w:ind w:left="0"/>
              <w:jc w:val="right"/>
              <w:rPr>
                <w:rFonts w:ascii="Calibri" w:eastAsia="Calibri" w:hAnsi="Calibri" w:cs="Times New Roman"/>
                <w:b/>
                <w:color w:val="3F6C19"/>
                <w:sz w:val="18"/>
              </w:rPr>
            </w:pP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41856" behindDoc="0" locked="0" layoutInCell="1" allowOverlap="1" wp14:anchorId="1246E097" wp14:editId="765C4FDD">
                      <wp:simplePos x="0" y="0"/>
                      <wp:positionH relativeFrom="column">
                        <wp:posOffset>-28575</wp:posOffset>
                      </wp:positionH>
                      <wp:positionV relativeFrom="paragraph">
                        <wp:posOffset>20320</wp:posOffset>
                      </wp:positionV>
                      <wp:extent cx="167640" cy="123190"/>
                      <wp:effectExtent l="0" t="0" r="3810" b="0"/>
                      <wp:wrapNone/>
                      <wp:docPr id="12" name="Triángulo isósceles 12"/>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0B41F" id="Triángulo isósceles 12" o:spid="_x0000_s1026" type="#_x0000_t5" style="position:absolute;margin-left:-2.25pt;margin-top:1.6pt;width:13.2pt;height:9.7pt;rotation:18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" fillcolor="#c00000" stroked="f" strokeweight="2pt"/>
                  </w:pict>
                </mc:Fallback>
              </mc:AlternateContent>
            </w:r>
            <w:r w:rsidRPr="00E251F3">
              <w:rPr>
                <w:rFonts w:ascii="Calibri" w:eastAsia="Calibri" w:hAnsi="Calibri" w:cs="Times New Roman"/>
                <w:b/>
                <w:color w:val="C00000"/>
                <w:sz w:val="18"/>
              </w:rPr>
              <w:t>-6,2 pp</w:t>
            </w:r>
          </w:p>
        </w:tc>
      </w:tr>
      <w:tr w:rsidR="00E251F3" w:rsidRPr="00E251F3" w14:paraId="76515107" w14:textId="77777777" w:rsidTr="004C6ACD">
        <w:trPr>
          <w:trHeight w:val="242"/>
        </w:trPr>
        <w:tc>
          <w:tcPr>
            <w:tcW w:w="562" w:type="dxa"/>
            <w:tcBorders>
              <w:top w:val="nil"/>
              <w:left w:val="nil"/>
              <w:bottom w:val="nil"/>
              <w:right w:val="nil"/>
            </w:tcBorders>
          </w:tcPr>
          <w:p w14:paraId="57E30070"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6d</w:t>
            </w:r>
          </w:p>
        </w:tc>
        <w:tc>
          <w:tcPr>
            <w:tcW w:w="5682" w:type="dxa"/>
            <w:tcBorders>
              <w:top w:val="nil"/>
              <w:left w:val="nil"/>
              <w:bottom w:val="nil"/>
              <w:right w:val="nil"/>
            </w:tcBorders>
          </w:tcPr>
          <w:p w14:paraId="3A94AE97"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Tasa de reciclaje de RAEE</w:t>
            </w:r>
          </w:p>
        </w:tc>
        <w:tc>
          <w:tcPr>
            <w:tcW w:w="1843" w:type="dxa"/>
            <w:tcBorders>
              <w:top w:val="nil"/>
              <w:left w:val="nil"/>
              <w:bottom w:val="nil"/>
              <w:right w:val="nil"/>
            </w:tcBorders>
            <w:vAlign w:val="center"/>
          </w:tcPr>
          <w:p w14:paraId="74FAB1E4" w14:textId="77777777" w:rsidR="00E251F3" w:rsidRPr="00E251F3" w:rsidRDefault="00E251F3" w:rsidP="00E251F3">
            <w:pPr>
              <w:ind w:left="0"/>
              <w:jc w:val="center"/>
              <w:rPr>
                <w:rFonts w:ascii="Calibri" w:eastAsia="Calibri" w:hAnsi="Calibri" w:cs="Times New Roman"/>
                <w:color w:val="262626"/>
                <w:sz w:val="18"/>
                <w:highlight w:val="yellow"/>
              </w:rPr>
            </w:pPr>
            <w:r w:rsidRPr="00E251F3">
              <w:rPr>
                <w:rFonts w:ascii="Calibri" w:eastAsia="Calibri" w:hAnsi="Calibri" w:cs="Times New Roman"/>
                <w:color w:val="262626"/>
                <w:sz w:val="18"/>
              </w:rPr>
              <w:t>52 %</w:t>
            </w:r>
          </w:p>
        </w:tc>
        <w:tc>
          <w:tcPr>
            <w:tcW w:w="1276" w:type="dxa"/>
            <w:tcBorders>
              <w:top w:val="nil"/>
              <w:left w:val="nil"/>
              <w:bottom w:val="nil"/>
              <w:right w:val="nil"/>
            </w:tcBorders>
            <w:shd w:val="clear" w:color="auto" w:fill="auto"/>
            <w:vAlign w:val="center"/>
          </w:tcPr>
          <w:p w14:paraId="50876C44" w14:textId="77777777" w:rsidR="00E251F3" w:rsidRPr="00E251F3" w:rsidRDefault="00E251F3" w:rsidP="00E251F3">
            <w:pPr>
              <w:ind w:left="0"/>
              <w:jc w:val="right"/>
              <w:rPr>
                <w:rFonts w:ascii="Calibri" w:eastAsia="Calibri" w:hAnsi="Calibri" w:cs="Times New Roman"/>
                <w:b/>
                <w:color w:val="3F6C19"/>
                <w:sz w:val="18"/>
              </w:rPr>
            </w:pPr>
            <w:r w:rsidRPr="00E251F3">
              <w:rPr>
                <w:rFonts w:ascii="Calibri" w:eastAsia="Calibri" w:hAnsi="Calibri" w:cs="Times New Roman"/>
                <w:b/>
                <w:color w:val="3F6C19"/>
                <w:sz w:val="18"/>
              </w:rPr>
              <w:t>+1,4 pp</w:t>
            </w:r>
          </w:p>
        </w:tc>
      </w:tr>
      <w:tr w:rsidR="00E251F3" w:rsidRPr="00E251F3" w14:paraId="72678EFE" w14:textId="77777777" w:rsidTr="004C6ACD">
        <w:trPr>
          <w:trHeight w:val="242"/>
        </w:trPr>
        <w:tc>
          <w:tcPr>
            <w:tcW w:w="562" w:type="dxa"/>
            <w:tcBorders>
              <w:top w:val="nil"/>
              <w:left w:val="nil"/>
              <w:bottom w:val="nil"/>
              <w:right w:val="nil"/>
            </w:tcBorders>
          </w:tcPr>
          <w:p w14:paraId="289E8210"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6e</w:t>
            </w:r>
          </w:p>
        </w:tc>
        <w:tc>
          <w:tcPr>
            <w:tcW w:w="5682" w:type="dxa"/>
            <w:tcBorders>
              <w:top w:val="nil"/>
              <w:left w:val="nil"/>
              <w:bottom w:val="nil"/>
              <w:right w:val="nil"/>
            </w:tcBorders>
          </w:tcPr>
          <w:p w14:paraId="63F077DA"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Tasa de reciclaje de biorresiduos</w:t>
            </w:r>
          </w:p>
        </w:tc>
        <w:tc>
          <w:tcPr>
            <w:tcW w:w="1843" w:type="dxa"/>
            <w:tcBorders>
              <w:top w:val="nil"/>
              <w:left w:val="nil"/>
              <w:bottom w:val="nil"/>
              <w:right w:val="nil"/>
            </w:tcBorders>
            <w:vAlign w:val="center"/>
          </w:tcPr>
          <w:p w14:paraId="1B32D072"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31 kg/hab.</w:t>
            </w:r>
          </w:p>
        </w:tc>
        <w:tc>
          <w:tcPr>
            <w:tcW w:w="1276" w:type="dxa"/>
            <w:tcBorders>
              <w:top w:val="nil"/>
              <w:left w:val="nil"/>
              <w:bottom w:val="nil"/>
              <w:right w:val="nil"/>
            </w:tcBorders>
            <w:shd w:val="clear" w:color="auto" w:fill="auto"/>
            <w:vAlign w:val="center"/>
          </w:tcPr>
          <w:p w14:paraId="07736E9F" w14:textId="77777777" w:rsidR="00E251F3" w:rsidRPr="00E251F3" w:rsidRDefault="00E251F3" w:rsidP="00E251F3">
            <w:pPr>
              <w:ind w:left="0"/>
              <w:jc w:val="right"/>
              <w:rPr>
                <w:rFonts w:ascii="Calibri" w:eastAsia="Calibri" w:hAnsi="Calibri" w:cs="Times New Roman"/>
                <w:b/>
                <w:color w:val="3F6C19"/>
                <w:sz w:val="18"/>
              </w:rPr>
            </w:pPr>
            <w:r w:rsidRPr="00E251F3">
              <w:rPr>
                <w:rFonts w:ascii="Calibri" w:eastAsia="Calibri" w:hAnsi="Calibri" w:cs="Times New Roman"/>
                <w:b/>
                <w:color w:val="3F6C19"/>
                <w:sz w:val="18"/>
              </w:rPr>
              <w:t>+15,7 %</w:t>
            </w:r>
          </w:p>
        </w:tc>
      </w:tr>
      <w:tr w:rsidR="00E251F3" w:rsidRPr="00E251F3" w14:paraId="6D91F381" w14:textId="77777777" w:rsidTr="004C6ACD">
        <w:trPr>
          <w:trHeight w:val="242"/>
        </w:trPr>
        <w:tc>
          <w:tcPr>
            <w:tcW w:w="562" w:type="dxa"/>
            <w:tcBorders>
              <w:top w:val="nil"/>
              <w:left w:val="nil"/>
              <w:bottom w:val="dotted" w:sz="4" w:space="0" w:color="60A527"/>
              <w:right w:val="nil"/>
            </w:tcBorders>
          </w:tcPr>
          <w:p w14:paraId="09E5A02F"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6f</w:t>
            </w:r>
          </w:p>
        </w:tc>
        <w:tc>
          <w:tcPr>
            <w:tcW w:w="5682" w:type="dxa"/>
            <w:tcBorders>
              <w:top w:val="nil"/>
              <w:left w:val="nil"/>
              <w:bottom w:val="dotted" w:sz="4" w:space="0" w:color="60A527"/>
              <w:right w:val="nil"/>
            </w:tcBorders>
          </w:tcPr>
          <w:p w14:paraId="493EF2EE"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Tasa de recuperación de residuos de construcción y demolición</w:t>
            </w:r>
          </w:p>
        </w:tc>
        <w:tc>
          <w:tcPr>
            <w:tcW w:w="1843" w:type="dxa"/>
            <w:tcBorders>
              <w:top w:val="nil"/>
              <w:left w:val="nil"/>
              <w:bottom w:val="dotted" w:sz="4" w:space="0" w:color="60A527"/>
              <w:right w:val="nil"/>
            </w:tcBorders>
            <w:vAlign w:val="center"/>
          </w:tcPr>
          <w:p w14:paraId="0EFA75B9"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76 %</w:t>
            </w:r>
          </w:p>
        </w:tc>
        <w:tc>
          <w:tcPr>
            <w:tcW w:w="1276" w:type="dxa"/>
            <w:tcBorders>
              <w:top w:val="nil"/>
              <w:left w:val="nil"/>
              <w:bottom w:val="dotted" w:sz="4" w:space="0" w:color="60A527"/>
              <w:right w:val="nil"/>
            </w:tcBorders>
            <w:shd w:val="clear" w:color="auto" w:fill="auto"/>
            <w:vAlign w:val="center"/>
          </w:tcPr>
          <w:p w14:paraId="3982E4D8" w14:textId="77777777" w:rsidR="00E251F3" w:rsidRPr="00E251F3" w:rsidRDefault="00E251F3" w:rsidP="00E251F3">
            <w:pPr>
              <w:ind w:left="0"/>
              <w:jc w:val="right"/>
              <w:rPr>
                <w:rFonts w:ascii="Calibri" w:eastAsia="Calibri" w:hAnsi="Calibri" w:cs="Times New Roman"/>
                <w:b/>
                <w:color w:val="3F6C19"/>
                <w:sz w:val="18"/>
              </w:rPr>
            </w:pP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52096" behindDoc="0" locked="0" layoutInCell="1" allowOverlap="1" wp14:anchorId="0122616D" wp14:editId="4E70D7B5">
                      <wp:simplePos x="0" y="0"/>
                      <wp:positionH relativeFrom="column">
                        <wp:posOffset>-26670</wp:posOffset>
                      </wp:positionH>
                      <wp:positionV relativeFrom="paragraph">
                        <wp:posOffset>19685</wp:posOffset>
                      </wp:positionV>
                      <wp:extent cx="167640" cy="123190"/>
                      <wp:effectExtent l="0" t="0" r="3810" b="0"/>
                      <wp:wrapNone/>
                      <wp:docPr id="13" name="Triángulo isósceles 13"/>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B5EB" id="Triángulo isósceles 13" o:spid="_x0000_s1026" type="#_x0000_t5" style="position:absolute;margin-left:-2.1pt;margin-top:1.55pt;width:13.2pt;height:9.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" fillcolor="#3f6d19" stroked="f" strokeweight="2pt"/>
                  </w:pict>
                </mc:Fallback>
              </mc:AlternateContent>
            </w: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48000" behindDoc="0" locked="0" layoutInCell="1" allowOverlap="1" wp14:anchorId="6A8421F1" wp14:editId="5A100F7F">
                      <wp:simplePos x="0" y="0"/>
                      <wp:positionH relativeFrom="column">
                        <wp:posOffset>-26670</wp:posOffset>
                      </wp:positionH>
                      <wp:positionV relativeFrom="paragraph">
                        <wp:posOffset>-135255</wp:posOffset>
                      </wp:positionV>
                      <wp:extent cx="167640" cy="123190"/>
                      <wp:effectExtent l="0" t="0" r="3810" b="0"/>
                      <wp:wrapNone/>
                      <wp:docPr id="14" name="Triángulo isósceles 14"/>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E588" id="Triángulo isósceles 14" o:spid="_x0000_s1026" type="#_x0000_t5" style="position:absolute;margin-left:-2.1pt;margin-top:-10.65pt;width:13.2pt;height: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" fillcolor="#3f6d19" stroked="f" strokeweight="2pt"/>
                  </w:pict>
                </mc:Fallback>
              </mc:AlternateContent>
            </w: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45952" behindDoc="0" locked="0" layoutInCell="1" allowOverlap="1" wp14:anchorId="107A8192" wp14:editId="352F65B0">
                      <wp:simplePos x="0" y="0"/>
                      <wp:positionH relativeFrom="column">
                        <wp:posOffset>-26670</wp:posOffset>
                      </wp:positionH>
                      <wp:positionV relativeFrom="paragraph">
                        <wp:posOffset>-290830</wp:posOffset>
                      </wp:positionV>
                      <wp:extent cx="167640" cy="123190"/>
                      <wp:effectExtent l="0" t="0" r="3810" b="0"/>
                      <wp:wrapNone/>
                      <wp:docPr id="152" name="Triángulo isósceles 152"/>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5D473" id="Triángulo isósceles 152" o:spid="_x0000_s1026" type="#_x0000_t5" style="position:absolute;margin-left:-2.1pt;margin-top:-22.9pt;width:13.2pt;height:9.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" fillcolor="#3f6d19" stroked="f" strokeweight="2pt"/>
                  </w:pict>
                </mc:Fallback>
              </mc:AlternateContent>
            </w:r>
            <w:r w:rsidRPr="00E251F3">
              <w:rPr>
                <w:rFonts w:ascii="Calibri" w:eastAsia="Calibri" w:hAnsi="Calibri" w:cs="Times New Roman"/>
                <w:b/>
                <w:color w:val="3F6C19"/>
                <w:sz w:val="18"/>
              </w:rPr>
              <w:t>+14,0 pp</w:t>
            </w:r>
          </w:p>
        </w:tc>
      </w:tr>
      <w:tr w:rsidR="00E251F3" w:rsidRPr="00E251F3" w14:paraId="4D3416F2" w14:textId="77777777" w:rsidTr="00E251F3">
        <w:tc>
          <w:tcPr>
            <w:tcW w:w="6244" w:type="dxa"/>
            <w:gridSpan w:val="2"/>
            <w:tcBorders>
              <w:top w:val="dotted" w:sz="4" w:space="0" w:color="60A527"/>
              <w:left w:val="nil"/>
              <w:bottom w:val="dotted" w:sz="4" w:space="0" w:color="60A527"/>
              <w:right w:val="nil"/>
            </w:tcBorders>
            <w:shd w:val="clear" w:color="auto" w:fill="B1E389"/>
          </w:tcPr>
          <w:p w14:paraId="13378F2E" w14:textId="77777777" w:rsidR="00E251F3" w:rsidRPr="00E251F3" w:rsidRDefault="00E251F3" w:rsidP="00E251F3">
            <w:pPr>
              <w:ind w:left="175"/>
              <w:rPr>
                <w:rFonts w:ascii="Calibri" w:eastAsia="Calibri" w:hAnsi="Calibri" w:cs="Times New Roman"/>
                <w:b/>
                <w:color w:val="262626"/>
                <w:sz w:val="18"/>
              </w:rPr>
            </w:pPr>
            <w:r w:rsidRPr="00E251F3">
              <w:rPr>
                <w:rFonts w:ascii="Calibri" w:eastAsia="Calibri" w:hAnsi="Calibri" w:cs="Times New Roman"/>
                <w:b/>
                <w:color w:val="3F6C19"/>
                <w:sz w:val="18"/>
              </w:rPr>
              <w:t>Materias primas secundarias</w:t>
            </w:r>
          </w:p>
        </w:tc>
        <w:tc>
          <w:tcPr>
            <w:tcW w:w="1843" w:type="dxa"/>
            <w:tcBorders>
              <w:top w:val="dotted" w:sz="4" w:space="0" w:color="60A527"/>
              <w:left w:val="nil"/>
              <w:bottom w:val="dotted" w:sz="4" w:space="0" w:color="60A527"/>
              <w:right w:val="nil"/>
            </w:tcBorders>
            <w:shd w:val="clear" w:color="auto" w:fill="B1E389"/>
            <w:vAlign w:val="center"/>
          </w:tcPr>
          <w:p w14:paraId="557CA02A" w14:textId="77777777" w:rsidR="00E251F3" w:rsidRPr="00E251F3" w:rsidRDefault="00E251F3" w:rsidP="00E251F3">
            <w:pPr>
              <w:ind w:left="-111"/>
              <w:jc w:val="center"/>
              <w:rPr>
                <w:rFonts w:ascii="Calibri" w:eastAsia="Calibri" w:hAnsi="Calibri" w:cs="Times New Roman"/>
                <w:color w:val="262626"/>
                <w:sz w:val="18"/>
              </w:rPr>
            </w:pPr>
            <w:r w:rsidRPr="00E251F3">
              <w:rPr>
                <w:rFonts w:ascii="Calibri" w:eastAsia="Calibri" w:hAnsi="Calibri" w:cs="Times New Roman"/>
                <w:b/>
                <w:color w:val="3F6C19"/>
                <w:sz w:val="18"/>
              </w:rPr>
              <w:t>2018</w:t>
            </w:r>
          </w:p>
        </w:tc>
        <w:tc>
          <w:tcPr>
            <w:tcW w:w="1276" w:type="dxa"/>
            <w:tcBorders>
              <w:top w:val="dotted" w:sz="4" w:space="0" w:color="60A527"/>
              <w:left w:val="nil"/>
              <w:bottom w:val="dotted" w:sz="4" w:space="0" w:color="60A527"/>
              <w:right w:val="nil"/>
            </w:tcBorders>
            <w:shd w:val="clear" w:color="auto" w:fill="B1E389"/>
          </w:tcPr>
          <w:p w14:paraId="29195DE6" w14:textId="77777777" w:rsidR="00E251F3" w:rsidRPr="00E251F3" w:rsidRDefault="00E251F3" w:rsidP="00E251F3">
            <w:pPr>
              <w:ind w:left="-111"/>
              <w:jc w:val="center"/>
              <w:rPr>
                <w:rFonts w:ascii="Calibri" w:eastAsia="Calibri" w:hAnsi="Calibri" w:cs="Times New Roman"/>
                <w:color w:val="262626"/>
                <w:sz w:val="18"/>
              </w:rPr>
            </w:pPr>
            <w:r w:rsidRPr="00E251F3">
              <w:rPr>
                <w:rFonts w:ascii="Calibri" w:eastAsia="Calibri" w:hAnsi="Calibri" w:cs="Times New Roman"/>
                <w:b/>
                <w:color w:val="3F6C19"/>
                <w:sz w:val="18"/>
              </w:rPr>
              <w:t>Respecto 2017</w:t>
            </w:r>
          </w:p>
        </w:tc>
      </w:tr>
      <w:tr w:rsidR="00E251F3" w:rsidRPr="00E251F3" w14:paraId="2D408AE3" w14:textId="77777777" w:rsidTr="004C6ACD">
        <w:trPr>
          <w:trHeight w:val="163"/>
        </w:trPr>
        <w:tc>
          <w:tcPr>
            <w:tcW w:w="562" w:type="dxa"/>
            <w:tcBorders>
              <w:top w:val="dotted" w:sz="4" w:space="0" w:color="60A527"/>
              <w:left w:val="nil"/>
              <w:bottom w:val="nil"/>
              <w:right w:val="nil"/>
            </w:tcBorders>
            <w:shd w:val="clear" w:color="auto" w:fill="auto"/>
            <w:vAlign w:val="center"/>
          </w:tcPr>
          <w:p w14:paraId="62612C4F"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b/>
                <w:color w:val="5EA226"/>
                <w:sz w:val="18"/>
              </w:rPr>
              <w:t>7</w:t>
            </w:r>
          </w:p>
        </w:tc>
        <w:tc>
          <w:tcPr>
            <w:tcW w:w="5682" w:type="dxa"/>
            <w:tcBorders>
              <w:top w:val="dotted" w:sz="4" w:space="0" w:color="60A527"/>
              <w:left w:val="nil"/>
              <w:bottom w:val="nil"/>
              <w:right w:val="nil"/>
            </w:tcBorders>
            <w:shd w:val="clear" w:color="auto" w:fill="auto"/>
          </w:tcPr>
          <w:p w14:paraId="44EDD034"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Contribución de materiales reciclados a la demanda de materias primas</w:t>
            </w:r>
          </w:p>
        </w:tc>
        <w:tc>
          <w:tcPr>
            <w:tcW w:w="1843" w:type="dxa"/>
            <w:tcBorders>
              <w:top w:val="dotted" w:sz="4" w:space="0" w:color="60A527"/>
              <w:left w:val="nil"/>
              <w:bottom w:val="nil"/>
              <w:right w:val="nil"/>
            </w:tcBorders>
            <w:shd w:val="clear" w:color="auto" w:fill="auto"/>
          </w:tcPr>
          <w:p w14:paraId="72593E3E" w14:textId="77777777" w:rsidR="00E251F3" w:rsidRPr="00E251F3" w:rsidRDefault="00E251F3" w:rsidP="00E251F3">
            <w:pPr>
              <w:ind w:left="0"/>
              <w:jc w:val="center"/>
              <w:rPr>
                <w:rFonts w:ascii="Calibri" w:eastAsia="Calibri" w:hAnsi="Calibri" w:cs="Times New Roman"/>
                <w:color w:val="262626"/>
                <w:sz w:val="18"/>
              </w:rPr>
            </w:pPr>
          </w:p>
        </w:tc>
        <w:tc>
          <w:tcPr>
            <w:tcW w:w="1276" w:type="dxa"/>
            <w:tcBorders>
              <w:top w:val="dotted" w:sz="4" w:space="0" w:color="60A527"/>
              <w:left w:val="nil"/>
              <w:bottom w:val="nil"/>
              <w:right w:val="nil"/>
            </w:tcBorders>
            <w:shd w:val="clear" w:color="auto" w:fill="auto"/>
          </w:tcPr>
          <w:p w14:paraId="64B5CB2E" w14:textId="77777777" w:rsidR="00E251F3" w:rsidRPr="00E251F3" w:rsidRDefault="00E251F3" w:rsidP="00E251F3">
            <w:pPr>
              <w:ind w:left="0"/>
              <w:jc w:val="right"/>
              <w:rPr>
                <w:rFonts w:ascii="Calibri" w:eastAsia="Calibri" w:hAnsi="Calibri" w:cs="Times New Roman"/>
                <w:b/>
                <w:color w:val="3F6C19"/>
                <w:sz w:val="18"/>
              </w:rPr>
            </w:pPr>
          </w:p>
        </w:tc>
      </w:tr>
      <w:tr w:rsidR="00E251F3" w:rsidRPr="00E251F3" w14:paraId="183441F7" w14:textId="77777777" w:rsidTr="004C6ACD">
        <w:trPr>
          <w:trHeight w:val="163"/>
        </w:trPr>
        <w:tc>
          <w:tcPr>
            <w:tcW w:w="562" w:type="dxa"/>
            <w:tcBorders>
              <w:top w:val="nil"/>
              <w:left w:val="nil"/>
              <w:bottom w:val="nil"/>
              <w:right w:val="nil"/>
            </w:tcBorders>
            <w:vAlign w:val="center"/>
          </w:tcPr>
          <w:p w14:paraId="201D04E0"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7a</w:t>
            </w:r>
          </w:p>
        </w:tc>
        <w:tc>
          <w:tcPr>
            <w:tcW w:w="5682" w:type="dxa"/>
            <w:tcBorders>
              <w:top w:val="nil"/>
              <w:left w:val="nil"/>
              <w:bottom w:val="nil"/>
              <w:right w:val="nil"/>
            </w:tcBorders>
          </w:tcPr>
          <w:p w14:paraId="1450DA1F"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Tasa de entrada de reciclaje al final de su vida útil</w:t>
            </w:r>
          </w:p>
        </w:tc>
        <w:tc>
          <w:tcPr>
            <w:tcW w:w="1843" w:type="dxa"/>
            <w:tcBorders>
              <w:top w:val="nil"/>
              <w:left w:val="nil"/>
              <w:bottom w:val="nil"/>
              <w:right w:val="nil"/>
            </w:tcBorders>
            <w:vAlign w:val="center"/>
          </w:tcPr>
          <w:p w14:paraId="7CCC9B71" w14:textId="75B2AEF5"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 xml:space="preserve">Indicador </w:t>
            </w:r>
            <w:r w:rsidRPr="00E251F3">
              <w:rPr>
                <w:rFonts w:ascii="Calibri" w:eastAsia="Calibri" w:hAnsi="Calibri" w:cs="Times New Roman"/>
                <w:color w:val="262626"/>
                <w:sz w:val="18"/>
              </w:rPr>
              <w:fldChar w:fldCharType="begin"/>
            </w:r>
            <w:r w:rsidRPr="00E251F3">
              <w:rPr>
                <w:rFonts w:ascii="Calibri" w:eastAsia="Calibri" w:hAnsi="Calibri" w:cs="Times New Roman"/>
                <w:color w:val="262626"/>
                <w:sz w:val="18"/>
              </w:rPr>
              <w:instrText xml:space="preserve"> REF _Ref507407488 \r \h  \* MERGEFORMAT </w:instrText>
            </w:r>
            <w:r w:rsidRPr="00E251F3">
              <w:rPr>
                <w:rFonts w:ascii="Calibri" w:eastAsia="Calibri" w:hAnsi="Calibri" w:cs="Times New Roman"/>
                <w:color w:val="262626"/>
                <w:sz w:val="18"/>
              </w:rPr>
            </w:r>
            <w:r w:rsidRPr="00E251F3">
              <w:rPr>
                <w:rFonts w:ascii="Calibri" w:eastAsia="Calibri" w:hAnsi="Calibri" w:cs="Times New Roman"/>
                <w:color w:val="262626"/>
                <w:sz w:val="18"/>
              </w:rPr>
              <w:fldChar w:fldCharType="separate"/>
            </w:r>
            <w:r w:rsidR="006C0251">
              <w:rPr>
                <w:rFonts w:ascii="Calibri" w:eastAsia="Calibri" w:hAnsi="Calibri" w:cs="Times New Roman"/>
                <w:b/>
                <w:bCs/>
                <w:color w:val="262626"/>
                <w:sz w:val="18"/>
              </w:rPr>
              <w:t>¡Error! No se encuentra el origen de la referencia.</w:t>
            </w:r>
            <w:r w:rsidRPr="00E251F3">
              <w:rPr>
                <w:rFonts w:ascii="Calibri" w:eastAsia="Calibri" w:hAnsi="Calibri" w:cs="Times New Roman"/>
                <w:color w:val="262626"/>
                <w:sz w:val="18"/>
              </w:rPr>
              <w:fldChar w:fldCharType="end"/>
            </w:r>
            <w:r w:rsidRPr="00E251F3">
              <w:rPr>
                <w:rFonts w:ascii="Calibri" w:eastAsia="Calibri" w:hAnsi="Calibri" w:cs="Times New Roman"/>
                <w:color w:val="262626"/>
                <w:sz w:val="18"/>
              </w:rPr>
              <w:t>*</w:t>
            </w:r>
          </w:p>
        </w:tc>
        <w:tc>
          <w:tcPr>
            <w:tcW w:w="1276" w:type="dxa"/>
            <w:tcBorders>
              <w:top w:val="nil"/>
              <w:left w:val="nil"/>
              <w:bottom w:val="nil"/>
              <w:right w:val="nil"/>
            </w:tcBorders>
          </w:tcPr>
          <w:p w14:paraId="5074497E" w14:textId="77777777" w:rsidR="00E251F3" w:rsidRPr="00E251F3" w:rsidRDefault="00E251F3" w:rsidP="00E251F3">
            <w:pPr>
              <w:ind w:left="0"/>
              <w:jc w:val="right"/>
              <w:rPr>
                <w:rFonts w:ascii="Calibri" w:eastAsia="Calibri" w:hAnsi="Calibri" w:cs="Times New Roman"/>
                <w:b/>
                <w:color w:val="3F6C19"/>
                <w:sz w:val="18"/>
              </w:rPr>
            </w:pPr>
          </w:p>
        </w:tc>
      </w:tr>
      <w:tr w:rsidR="00E251F3" w:rsidRPr="00E251F3" w14:paraId="041B867D" w14:textId="77777777" w:rsidTr="004C6ACD">
        <w:trPr>
          <w:trHeight w:val="163"/>
        </w:trPr>
        <w:tc>
          <w:tcPr>
            <w:tcW w:w="562" w:type="dxa"/>
            <w:tcBorders>
              <w:top w:val="nil"/>
              <w:left w:val="nil"/>
              <w:bottom w:val="dotted" w:sz="4" w:space="0" w:color="60A527"/>
              <w:right w:val="nil"/>
            </w:tcBorders>
            <w:vAlign w:val="center"/>
          </w:tcPr>
          <w:p w14:paraId="27D35662"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7b</w:t>
            </w:r>
          </w:p>
        </w:tc>
        <w:tc>
          <w:tcPr>
            <w:tcW w:w="5682" w:type="dxa"/>
            <w:tcBorders>
              <w:top w:val="nil"/>
              <w:left w:val="nil"/>
              <w:bottom w:val="dotted" w:sz="4" w:space="0" w:color="60A527"/>
              <w:right w:val="nil"/>
            </w:tcBorders>
          </w:tcPr>
          <w:p w14:paraId="71A5A32C" w14:textId="77777777" w:rsidR="00E251F3" w:rsidRPr="00E251F3" w:rsidRDefault="00E251F3" w:rsidP="00E251F3">
            <w:pPr>
              <w:ind w:left="284"/>
              <w:rPr>
                <w:rFonts w:ascii="Calibri" w:eastAsia="Calibri" w:hAnsi="Calibri" w:cs="Times New Roman"/>
                <w:color w:val="262626"/>
                <w:sz w:val="18"/>
              </w:rPr>
            </w:pPr>
            <w:r w:rsidRPr="00E251F3">
              <w:rPr>
                <w:rFonts w:ascii="Calibri" w:eastAsia="Calibri" w:hAnsi="Calibri" w:cs="Times New Roman"/>
                <w:color w:val="262626"/>
                <w:sz w:val="18"/>
              </w:rPr>
              <w:t>Tasa de uso de material circular</w:t>
            </w:r>
          </w:p>
        </w:tc>
        <w:tc>
          <w:tcPr>
            <w:tcW w:w="1843" w:type="dxa"/>
            <w:tcBorders>
              <w:top w:val="nil"/>
              <w:left w:val="nil"/>
              <w:bottom w:val="dotted" w:sz="4" w:space="0" w:color="60A527"/>
              <w:right w:val="nil"/>
            </w:tcBorders>
            <w:vAlign w:val="center"/>
          </w:tcPr>
          <w:p w14:paraId="7A71CA50"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7,9 %</w:t>
            </w:r>
          </w:p>
        </w:tc>
        <w:tc>
          <w:tcPr>
            <w:tcW w:w="1276" w:type="dxa"/>
            <w:tcBorders>
              <w:top w:val="nil"/>
              <w:left w:val="nil"/>
              <w:bottom w:val="dotted" w:sz="4" w:space="0" w:color="60A527"/>
              <w:right w:val="nil"/>
            </w:tcBorders>
            <w:shd w:val="clear" w:color="auto" w:fill="auto"/>
            <w:vAlign w:val="center"/>
          </w:tcPr>
          <w:p w14:paraId="7A6B5EAA" w14:textId="77777777" w:rsidR="00E251F3" w:rsidRPr="00E251F3" w:rsidRDefault="00E251F3" w:rsidP="00E251F3">
            <w:pPr>
              <w:ind w:left="0"/>
              <w:jc w:val="right"/>
              <w:rPr>
                <w:rFonts w:ascii="Calibri" w:eastAsia="Calibri" w:hAnsi="Calibri" w:cs="Times New Roman"/>
                <w:b/>
                <w:color w:val="3F6C19"/>
                <w:sz w:val="18"/>
              </w:rPr>
            </w:pPr>
            <w:r w:rsidRPr="00E251F3">
              <w:rPr>
                <w:rFonts w:ascii="Calibri" w:eastAsia="Calibri" w:hAnsi="Calibri" w:cs="Times New Roman"/>
                <w:b/>
                <w:color w:val="3F6C19"/>
                <w:sz w:val="18"/>
              </w:rPr>
              <w:t>+0,0 pp</w:t>
            </w:r>
          </w:p>
        </w:tc>
      </w:tr>
      <w:tr w:rsidR="00E251F3" w:rsidRPr="00E251F3" w14:paraId="026BAEEE" w14:textId="77777777" w:rsidTr="004C6ACD">
        <w:tc>
          <w:tcPr>
            <w:tcW w:w="562" w:type="dxa"/>
            <w:tcBorders>
              <w:top w:val="dotted" w:sz="4" w:space="0" w:color="60A527"/>
              <w:left w:val="nil"/>
              <w:bottom w:val="dotted" w:sz="4" w:space="0" w:color="60A527"/>
              <w:right w:val="nil"/>
            </w:tcBorders>
            <w:shd w:val="clear" w:color="auto" w:fill="auto"/>
            <w:vAlign w:val="center"/>
          </w:tcPr>
          <w:p w14:paraId="2F031E16"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b/>
                <w:color w:val="5EA226"/>
                <w:sz w:val="18"/>
              </w:rPr>
              <w:t>8</w:t>
            </w:r>
          </w:p>
        </w:tc>
        <w:tc>
          <w:tcPr>
            <w:tcW w:w="5682" w:type="dxa"/>
            <w:tcBorders>
              <w:top w:val="dotted" w:sz="4" w:space="0" w:color="60A527"/>
              <w:left w:val="nil"/>
              <w:bottom w:val="dotted" w:sz="4" w:space="0" w:color="60A527"/>
              <w:right w:val="nil"/>
            </w:tcBorders>
            <w:shd w:val="clear" w:color="auto" w:fill="auto"/>
            <w:vAlign w:val="center"/>
          </w:tcPr>
          <w:p w14:paraId="25A60012"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Comercio de materias primas reciclables</w:t>
            </w:r>
          </w:p>
        </w:tc>
        <w:tc>
          <w:tcPr>
            <w:tcW w:w="1843" w:type="dxa"/>
            <w:tcBorders>
              <w:top w:val="dotted" w:sz="4" w:space="0" w:color="60A527"/>
              <w:left w:val="nil"/>
              <w:bottom w:val="dotted" w:sz="4" w:space="0" w:color="60A527"/>
              <w:right w:val="nil"/>
            </w:tcBorders>
            <w:shd w:val="clear" w:color="auto" w:fill="auto"/>
            <w:vAlign w:val="center"/>
          </w:tcPr>
          <w:p w14:paraId="6C5D705A"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w:t>
            </w:r>
          </w:p>
        </w:tc>
        <w:tc>
          <w:tcPr>
            <w:tcW w:w="1276" w:type="dxa"/>
            <w:tcBorders>
              <w:top w:val="dotted" w:sz="4" w:space="0" w:color="60A527"/>
              <w:left w:val="nil"/>
              <w:bottom w:val="dotted" w:sz="4" w:space="0" w:color="60A527"/>
              <w:right w:val="nil"/>
            </w:tcBorders>
            <w:shd w:val="clear" w:color="auto" w:fill="auto"/>
            <w:vAlign w:val="center"/>
          </w:tcPr>
          <w:p w14:paraId="57AC2747"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w:t>
            </w:r>
          </w:p>
        </w:tc>
      </w:tr>
      <w:tr w:rsidR="00E251F3" w:rsidRPr="00E251F3" w14:paraId="308B4C40" w14:textId="77777777" w:rsidTr="00E251F3">
        <w:tc>
          <w:tcPr>
            <w:tcW w:w="6244" w:type="dxa"/>
            <w:gridSpan w:val="2"/>
            <w:tcBorders>
              <w:top w:val="dotted" w:sz="4" w:space="0" w:color="60A527"/>
              <w:left w:val="nil"/>
              <w:bottom w:val="dotted" w:sz="4" w:space="0" w:color="60A527"/>
              <w:right w:val="nil"/>
            </w:tcBorders>
            <w:shd w:val="clear" w:color="auto" w:fill="B1E389"/>
          </w:tcPr>
          <w:p w14:paraId="782295A8" w14:textId="77777777" w:rsidR="00E251F3" w:rsidRPr="00E251F3" w:rsidRDefault="00E251F3" w:rsidP="00E251F3">
            <w:pPr>
              <w:ind w:left="175"/>
              <w:rPr>
                <w:rFonts w:ascii="Calibri" w:eastAsia="Calibri" w:hAnsi="Calibri" w:cs="Times New Roman"/>
                <w:b/>
                <w:color w:val="262626"/>
                <w:sz w:val="18"/>
              </w:rPr>
            </w:pPr>
            <w:r w:rsidRPr="00E251F3">
              <w:rPr>
                <w:rFonts w:ascii="Calibri" w:eastAsia="Calibri" w:hAnsi="Calibri" w:cs="Times New Roman"/>
                <w:b/>
                <w:color w:val="3F6C19"/>
                <w:sz w:val="18"/>
              </w:rPr>
              <w:t>Competitividad e innovación</w:t>
            </w:r>
          </w:p>
        </w:tc>
        <w:tc>
          <w:tcPr>
            <w:tcW w:w="1843" w:type="dxa"/>
            <w:tcBorders>
              <w:top w:val="dotted" w:sz="4" w:space="0" w:color="60A527"/>
              <w:left w:val="nil"/>
              <w:bottom w:val="dotted" w:sz="4" w:space="0" w:color="60A527"/>
              <w:right w:val="nil"/>
            </w:tcBorders>
            <w:shd w:val="clear" w:color="auto" w:fill="B1E389"/>
            <w:vAlign w:val="center"/>
          </w:tcPr>
          <w:p w14:paraId="61D44CE3" w14:textId="77777777" w:rsidR="00E251F3" w:rsidRPr="00E251F3" w:rsidRDefault="00E251F3" w:rsidP="00E251F3">
            <w:pPr>
              <w:ind w:left="-111"/>
              <w:jc w:val="center"/>
              <w:rPr>
                <w:rFonts w:ascii="Calibri" w:eastAsia="Calibri" w:hAnsi="Calibri" w:cs="Times New Roman"/>
                <w:color w:val="262626"/>
                <w:sz w:val="18"/>
              </w:rPr>
            </w:pPr>
            <w:r w:rsidRPr="00E251F3">
              <w:rPr>
                <w:rFonts w:ascii="Calibri" w:eastAsia="Calibri" w:hAnsi="Calibri" w:cs="Times New Roman"/>
                <w:b/>
                <w:color w:val="3F6C19"/>
                <w:sz w:val="18"/>
              </w:rPr>
              <w:t>2018</w:t>
            </w:r>
          </w:p>
        </w:tc>
        <w:tc>
          <w:tcPr>
            <w:tcW w:w="1276" w:type="dxa"/>
            <w:tcBorders>
              <w:top w:val="dotted" w:sz="4" w:space="0" w:color="60A527"/>
              <w:left w:val="nil"/>
              <w:bottom w:val="dotted" w:sz="4" w:space="0" w:color="60A527"/>
              <w:right w:val="nil"/>
            </w:tcBorders>
            <w:shd w:val="clear" w:color="auto" w:fill="B1E389"/>
          </w:tcPr>
          <w:p w14:paraId="28967ECD" w14:textId="77777777" w:rsidR="00E251F3" w:rsidRPr="00E251F3" w:rsidRDefault="00E251F3" w:rsidP="00E251F3">
            <w:pPr>
              <w:ind w:left="-111"/>
              <w:jc w:val="center"/>
              <w:rPr>
                <w:rFonts w:ascii="Calibri" w:eastAsia="Calibri" w:hAnsi="Calibri" w:cs="Times New Roman"/>
                <w:color w:val="262626"/>
                <w:sz w:val="18"/>
              </w:rPr>
            </w:pPr>
            <w:r w:rsidRPr="00E251F3">
              <w:rPr>
                <w:rFonts w:ascii="Calibri" w:eastAsia="Calibri" w:hAnsi="Calibri" w:cs="Times New Roman"/>
                <w:noProof/>
                <w:color w:val="262626"/>
                <w:sz w:val="18"/>
                <w:lang w:eastAsia="es-ES"/>
              </w:rPr>
              <mc:AlternateContent>
                <mc:Choice Requires="wps">
                  <w:drawing>
                    <wp:anchor distT="0" distB="0" distL="114300" distR="114300" simplePos="0" relativeHeight="251678720" behindDoc="0" locked="0" layoutInCell="1" allowOverlap="1" wp14:anchorId="39036767" wp14:editId="765CCFA6">
                      <wp:simplePos x="0" y="0"/>
                      <wp:positionH relativeFrom="column">
                        <wp:posOffset>-26670</wp:posOffset>
                      </wp:positionH>
                      <wp:positionV relativeFrom="paragraph">
                        <wp:posOffset>-325755</wp:posOffset>
                      </wp:positionV>
                      <wp:extent cx="167640" cy="123190"/>
                      <wp:effectExtent l="0" t="0" r="3810" b="0"/>
                      <wp:wrapNone/>
                      <wp:docPr id="155" name="Triángulo isósceles 155"/>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08CA" id="Triángulo isósceles 155" o:spid="_x0000_s1026" type="#_x0000_t5" style="position:absolute;margin-left:-2.1pt;margin-top:-25.65pt;width:13.2pt;height: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" fillcolor="#3f6d19" stroked="f" strokeweight="2pt"/>
                  </w:pict>
                </mc:Fallback>
              </mc:AlternateContent>
            </w:r>
            <w:r w:rsidRPr="00E251F3">
              <w:rPr>
                <w:rFonts w:ascii="Calibri" w:eastAsia="Calibri" w:hAnsi="Calibri" w:cs="Times New Roman"/>
                <w:b/>
                <w:color w:val="3F6C19"/>
                <w:sz w:val="18"/>
              </w:rPr>
              <w:t>Respecto 2017</w:t>
            </w:r>
          </w:p>
        </w:tc>
      </w:tr>
      <w:tr w:rsidR="00E251F3" w:rsidRPr="00E251F3" w14:paraId="48F93915" w14:textId="77777777" w:rsidTr="004C6ACD">
        <w:trPr>
          <w:trHeight w:val="308"/>
        </w:trPr>
        <w:tc>
          <w:tcPr>
            <w:tcW w:w="562" w:type="dxa"/>
            <w:tcBorders>
              <w:top w:val="dotted" w:sz="4" w:space="0" w:color="60A527"/>
              <w:left w:val="nil"/>
              <w:bottom w:val="nil"/>
              <w:right w:val="nil"/>
            </w:tcBorders>
            <w:shd w:val="clear" w:color="auto" w:fill="auto"/>
            <w:vAlign w:val="center"/>
          </w:tcPr>
          <w:p w14:paraId="6AF8FB8E"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b/>
                <w:color w:val="5EA226"/>
                <w:sz w:val="18"/>
              </w:rPr>
              <w:t>9</w:t>
            </w:r>
          </w:p>
        </w:tc>
        <w:tc>
          <w:tcPr>
            <w:tcW w:w="5682" w:type="dxa"/>
            <w:tcBorders>
              <w:top w:val="dotted" w:sz="4" w:space="0" w:color="60A527"/>
              <w:left w:val="nil"/>
              <w:bottom w:val="nil"/>
              <w:right w:val="nil"/>
            </w:tcBorders>
            <w:shd w:val="clear" w:color="auto" w:fill="auto"/>
          </w:tcPr>
          <w:p w14:paraId="6CD75B4A"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Inversiones privadas, empleos y valor agregado bruto: sector de reciclaje; sector de reparación y reutilización (2019)</w:t>
            </w:r>
          </w:p>
        </w:tc>
        <w:tc>
          <w:tcPr>
            <w:tcW w:w="1843" w:type="dxa"/>
            <w:tcBorders>
              <w:top w:val="dotted" w:sz="4" w:space="0" w:color="60A527"/>
              <w:left w:val="nil"/>
              <w:bottom w:val="nil"/>
              <w:right w:val="nil"/>
            </w:tcBorders>
            <w:shd w:val="clear" w:color="auto" w:fill="auto"/>
          </w:tcPr>
          <w:p w14:paraId="1CD60485" w14:textId="77777777" w:rsidR="00E251F3" w:rsidRPr="00E251F3" w:rsidRDefault="00E251F3" w:rsidP="00E251F3">
            <w:pPr>
              <w:ind w:left="0"/>
              <w:rPr>
                <w:rFonts w:ascii="Calibri" w:eastAsia="Calibri" w:hAnsi="Calibri" w:cs="Times New Roman"/>
                <w:color w:val="262626"/>
                <w:sz w:val="18"/>
              </w:rPr>
            </w:pPr>
          </w:p>
          <w:p w14:paraId="597825AD" w14:textId="77777777" w:rsidR="00E251F3" w:rsidRPr="00E251F3" w:rsidRDefault="00E251F3" w:rsidP="00E251F3">
            <w:pPr>
              <w:ind w:left="0"/>
              <w:rPr>
                <w:rFonts w:ascii="Calibri" w:eastAsia="Calibri" w:hAnsi="Calibri" w:cs="Times New Roman"/>
                <w:color w:val="262626"/>
                <w:sz w:val="18"/>
              </w:rPr>
            </w:pPr>
          </w:p>
        </w:tc>
        <w:tc>
          <w:tcPr>
            <w:tcW w:w="1276" w:type="dxa"/>
            <w:tcBorders>
              <w:top w:val="dotted" w:sz="4" w:space="0" w:color="60A527"/>
              <w:left w:val="nil"/>
              <w:bottom w:val="nil"/>
              <w:right w:val="nil"/>
            </w:tcBorders>
            <w:shd w:val="clear" w:color="auto" w:fill="auto"/>
            <w:vAlign w:val="center"/>
          </w:tcPr>
          <w:p w14:paraId="714A4300"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i/>
                <w:iCs/>
                <w:color w:val="262626"/>
                <w:sz w:val="18"/>
                <w:szCs w:val="20"/>
              </w:rPr>
              <w:t>Respecto</w:t>
            </w:r>
            <w:r w:rsidRPr="00E251F3">
              <w:rPr>
                <w:rFonts w:ascii="Calibri" w:eastAsia="Calibri" w:hAnsi="Calibri" w:cs="Times New Roman"/>
                <w:color w:val="262626"/>
                <w:sz w:val="18"/>
                <w:szCs w:val="20"/>
              </w:rPr>
              <w:t xml:space="preserve"> a 2015</w:t>
            </w:r>
          </w:p>
        </w:tc>
      </w:tr>
      <w:tr w:rsidR="00E251F3" w:rsidRPr="00E251F3" w14:paraId="579FA720" w14:textId="77777777" w:rsidTr="004C6ACD">
        <w:trPr>
          <w:trHeight w:val="305"/>
        </w:trPr>
        <w:tc>
          <w:tcPr>
            <w:tcW w:w="562" w:type="dxa"/>
            <w:tcBorders>
              <w:top w:val="nil"/>
              <w:left w:val="nil"/>
              <w:bottom w:val="nil"/>
              <w:right w:val="nil"/>
            </w:tcBorders>
          </w:tcPr>
          <w:p w14:paraId="1C0FABA1"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9a</w:t>
            </w:r>
          </w:p>
        </w:tc>
        <w:tc>
          <w:tcPr>
            <w:tcW w:w="5682" w:type="dxa"/>
            <w:tcBorders>
              <w:top w:val="nil"/>
              <w:left w:val="nil"/>
              <w:bottom w:val="nil"/>
              <w:right w:val="nil"/>
            </w:tcBorders>
          </w:tcPr>
          <w:p w14:paraId="20380087"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Inversión bruta en bienes tangibles relacionados con sectores de economía circular</w:t>
            </w:r>
          </w:p>
        </w:tc>
        <w:tc>
          <w:tcPr>
            <w:tcW w:w="1843" w:type="dxa"/>
            <w:tcBorders>
              <w:top w:val="nil"/>
              <w:left w:val="nil"/>
              <w:bottom w:val="nil"/>
              <w:right w:val="nil"/>
            </w:tcBorders>
          </w:tcPr>
          <w:p w14:paraId="1F7907FF"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0,07 %</w:t>
            </w:r>
          </w:p>
        </w:tc>
        <w:tc>
          <w:tcPr>
            <w:tcW w:w="1276" w:type="dxa"/>
            <w:tcBorders>
              <w:top w:val="nil"/>
              <w:left w:val="nil"/>
              <w:bottom w:val="nil"/>
              <w:right w:val="nil"/>
            </w:tcBorders>
          </w:tcPr>
          <w:p w14:paraId="01348A06" w14:textId="77777777" w:rsidR="00E251F3" w:rsidRPr="00E251F3" w:rsidRDefault="00E251F3" w:rsidP="00E251F3">
            <w:pPr>
              <w:ind w:left="0"/>
              <w:jc w:val="right"/>
              <w:rPr>
                <w:rFonts w:ascii="Calibri" w:eastAsia="Calibri" w:hAnsi="Calibri" w:cs="Times New Roman"/>
                <w:color w:val="262626"/>
                <w:sz w:val="18"/>
              </w:rPr>
            </w:pPr>
            <w:r w:rsidRPr="00E251F3">
              <w:rPr>
                <w:rFonts w:ascii="Calibri" w:eastAsia="Calibri" w:hAnsi="Calibri" w:cs="Times New Roman"/>
                <w:b/>
                <w:color w:val="3F6C19"/>
                <w:sz w:val="18"/>
              </w:rPr>
              <w:t>+0,04 pp</w:t>
            </w:r>
          </w:p>
        </w:tc>
      </w:tr>
      <w:tr w:rsidR="00E251F3" w:rsidRPr="00E251F3" w14:paraId="79646231" w14:textId="77777777" w:rsidTr="004C6ACD">
        <w:trPr>
          <w:trHeight w:val="305"/>
        </w:trPr>
        <w:tc>
          <w:tcPr>
            <w:tcW w:w="562" w:type="dxa"/>
            <w:tcBorders>
              <w:top w:val="nil"/>
              <w:left w:val="nil"/>
              <w:bottom w:val="nil"/>
              <w:right w:val="nil"/>
            </w:tcBorders>
          </w:tcPr>
          <w:p w14:paraId="22DB5124"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9b</w:t>
            </w:r>
          </w:p>
        </w:tc>
        <w:tc>
          <w:tcPr>
            <w:tcW w:w="5682" w:type="dxa"/>
            <w:tcBorders>
              <w:top w:val="nil"/>
              <w:left w:val="nil"/>
              <w:bottom w:val="nil"/>
              <w:right w:val="nil"/>
            </w:tcBorders>
          </w:tcPr>
          <w:p w14:paraId="52C4A134"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Número de personas empleadas en los sectores de economía circular</w:t>
            </w:r>
          </w:p>
        </w:tc>
        <w:tc>
          <w:tcPr>
            <w:tcW w:w="1843" w:type="dxa"/>
            <w:tcBorders>
              <w:top w:val="nil"/>
              <w:left w:val="nil"/>
              <w:bottom w:val="nil"/>
              <w:right w:val="nil"/>
            </w:tcBorders>
          </w:tcPr>
          <w:p w14:paraId="5C691A89"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1,83 %****</w:t>
            </w:r>
          </w:p>
        </w:tc>
        <w:tc>
          <w:tcPr>
            <w:tcW w:w="1276" w:type="dxa"/>
            <w:tcBorders>
              <w:top w:val="nil"/>
              <w:left w:val="nil"/>
              <w:bottom w:val="nil"/>
              <w:right w:val="nil"/>
            </w:tcBorders>
          </w:tcPr>
          <w:p w14:paraId="472BE105" w14:textId="77777777" w:rsidR="00E251F3" w:rsidRPr="00E251F3" w:rsidRDefault="00E251F3" w:rsidP="00E251F3">
            <w:pPr>
              <w:ind w:left="0"/>
              <w:jc w:val="right"/>
              <w:rPr>
                <w:rFonts w:ascii="Calibri" w:eastAsia="Calibri" w:hAnsi="Calibri" w:cs="Times New Roman"/>
                <w:color w:val="262626"/>
                <w:sz w:val="18"/>
              </w:rPr>
            </w:pPr>
            <w:r w:rsidRPr="00E251F3">
              <w:rPr>
                <w:rFonts w:ascii="Calibri" w:eastAsia="Calibri" w:hAnsi="Calibri" w:cs="Times New Roman"/>
                <w:b/>
                <w:noProof/>
                <w:color w:val="3F6C19"/>
                <w:sz w:val="18"/>
                <w:lang w:eastAsia="es-ES"/>
              </w:rPr>
              <mc:AlternateContent>
                <mc:Choice Requires="wps">
                  <w:drawing>
                    <wp:anchor distT="0" distB="0" distL="114300" distR="114300" simplePos="0" relativeHeight="251682816" behindDoc="0" locked="0" layoutInCell="1" allowOverlap="1" wp14:anchorId="44CDB1F6" wp14:editId="619714C7">
                      <wp:simplePos x="0" y="0"/>
                      <wp:positionH relativeFrom="column">
                        <wp:posOffset>-18415</wp:posOffset>
                      </wp:positionH>
                      <wp:positionV relativeFrom="paragraph">
                        <wp:posOffset>32756</wp:posOffset>
                      </wp:positionV>
                      <wp:extent cx="167640" cy="123190"/>
                      <wp:effectExtent l="0" t="0" r="3810" b="0"/>
                      <wp:wrapNone/>
                      <wp:docPr id="11" name="Triángulo isósceles 11"/>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1C8B9" id="Triángulo isósceles 11" o:spid="_x0000_s1026" type="#_x0000_t5" style="position:absolute;margin-left:-1.45pt;margin-top:2.6pt;width:13.2pt;height:9.7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" fillcolor="#c00000" stroked="f" strokeweight="2pt"/>
                  </w:pict>
                </mc:Fallback>
              </mc:AlternateContent>
            </w:r>
            <w:r w:rsidRPr="00E251F3">
              <w:rPr>
                <w:rFonts w:ascii="Calibri" w:eastAsia="Calibri" w:hAnsi="Calibri" w:cs="Times New Roman"/>
                <w:b/>
                <w:noProof/>
                <w:color w:val="C00000"/>
                <w:sz w:val="18"/>
                <w:lang w:eastAsia="es-ES"/>
              </w:rPr>
              <mc:AlternateContent>
                <mc:Choice Requires="wps">
                  <w:drawing>
                    <wp:anchor distT="0" distB="0" distL="114300" distR="114300" simplePos="0" relativeHeight="251680768" behindDoc="0" locked="0" layoutInCell="1" allowOverlap="1" wp14:anchorId="4E896AC5" wp14:editId="7C0511B2">
                      <wp:simplePos x="0" y="0"/>
                      <wp:positionH relativeFrom="column">
                        <wp:posOffset>-25239</wp:posOffset>
                      </wp:positionH>
                      <wp:positionV relativeFrom="paragraph">
                        <wp:posOffset>-291626</wp:posOffset>
                      </wp:positionV>
                      <wp:extent cx="167640" cy="123190"/>
                      <wp:effectExtent l="0" t="0" r="3810" b="0"/>
                      <wp:wrapNone/>
                      <wp:docPr id="15" name="Triángulo isósceles 15"/>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86F2" id="Triángulo isósceles 15" o:spid="_x0000_s1026" type="#_x0000_t5" style="position:absolute;margin-left:-2pt;margin-top:-22.95pt;width:13.2pt;height: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" fillcolor="#3f6d19" stroked="f" strokeweight="2pt"/>
                  </w:pict>
                </mc:Fallback>
              </mc:AlternateContent>
            </w:r>
            <w:r w:rsidRPr="00E251F3">
              <w:rPr>
                <w:rFonts w:ascii="Calibri" w:eastAsia="Calibri" w:hAnsi="Calibri" w:cs="Times New Roman"/>
                <w:b/>
                <w:color w:val="C00000"/>
                <w:sz w:val="18"/>
              </w:rPr>
              <w:t>-0,25 pp</w:t>
            </w:r>
          </w:p>
        </w:tc>
      </w:tr>
      <w:tr w:rsidR="00E251F3" w:rsidRPr="00E251F3" w14:paraId="0A9D8DDF" w14:textId="77777777" w:rsidTr="004C6ACD">
        <w:trPr>
          <w:trHeight w:val="305"/>
        </w:trPr>
        <w:tc>
          <w:tcPr>
            <w:tcW w:w="562" w:type="dxa"/>
            <w:tcBorders>
              <w:top w:val="nil"/>
              <w:left w:val="nil"/>
              <w:bottom w:val="dotted" w:sz="4" w:space="0" w:color="60A527"/>
              <w:right w:val="nil"/>
            </w:tcBorders>
          </w:tcPr>
          <w:p w14:paraId="1B17E8CA"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9c</w:t>
            </w:r>
          </w:p>
        </w:tc>
        <w:tc>
          <w:tcPr>
            <w:tcW w:w="5682" w:type="dxa"/>
            <w:tcBorders>
              <w:top w:val="nil"/>
              <w:left w:val="nil"/>
              <w:bottom w:val="dotted" w:sz="4" w:space="0" w:color="60A527"/>
              <w:right w:val="nil"/>
            </w:tcBorders>
          </w:tcPr>
          <w:p w14:paraId="7F4A51F0"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Valor bruto agregado al coste de los factores en los sectores de economía circular</w:t>
            </w:r>
          </w:p>
        </w:tc>
        <w:tc>
          <w:tcPr>
            <w:tcW w:w="1843" w:type="dxa"/>
            <w:tcBorders>
              <w:top w:val="nil"/>
              <w:left w:val="nil"/>
              <w:bottom w:val="dotted" w:sz="4" w:space="0" w:color="60A527"/>
              <w:right w:val="nil"/>
            </w:tcBorders>
          </w:tcPr>
          <w:p w14:paraId="61366C1B"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1,05 %****</w:t>
            </w:r>
          </w:p>
        </w:tc>
        <w:tc>
          <w:tcPr>
            <w:tcW w:w="1276" w:type="dxa"/>
            <w:tcBorders>
              <w:top w:val="nil"/>
              <w:left w:val="nil"/>
              <w:bottom w:val="dotted" w:sz="4" w:space="0" w:color="60A527"/>
              <w:right w:val="nil"/>
            </w:tcBorders>
          </w:tcPr>
          <w:p w14:paraId="7FDE34D3" w14:textId="77777777" w:rsidR="00E251F3" w:rsidRPr="00E251F3" w:rsidRDefault="00E251F3" w:rsidP="00E251F3">
            <w:pPr>
              <w:ind w:left="0"/>
              <w:jc w:val="right"/>
              <w:rPr>
                <w:rFonts w:ascii="Calibri" w:eastAsia="Calibri" w:hAnsi="Calibri" w:cs="Times New Roman"/>
                <w:color w:val="262626"/>
                <w:sz w:val="18"/>
                <w:highlight w:val="yellow"/>
              </w:rPr>
            </w:pPr>
            <w:r w:rsidRPr="00E251F3">
              <w:rPr>
                <w:rFonts w:ascii="Calibri" w:eastAsia="Calibri" w:hAnsi="Calibri" w:cs="Times New Roman"/>
                <w:b/>
                <w:noProof/>
                <w:color w:val="3F6C19"/>
                <w:sz w:val="18"/>
                <w:lang w:eastAsia="es-ES"/>
              </w:rPr>
              <mc:AlternateContent>
                <mc:Choice Requires="wps">
                  <w:drawing>
                    <wp:anchor distT="0" distB="0" distL="114300" distR="114300" simplePos="0" relativeHeight="251684864" behindDoc="0" locked="0" layoutInCell="1" allowOverlap="1" wp14:anchorId="76202BB1" wp14:editId="6984E015">
                      <wp:simplePos x="0" y="0"/>
                      <wp:positionH relativeFrom="column">
                        <wp:posOffset>-17145</wp:posOffset>
                      </wp:positionH>
                      <wp:positionV relativeFrom="paragraph">
                        <wp:posOffset>33391</wp:posOffset>
                      </wp:positionV>
                      <wp:extent cx="167640" cy="123190"/>
                      <wp:effectExtent l="0" t="0" r="3810" b="0"/>
                      <wp:wrapNone/>
                      <wp:docPr id="38" name="Triángulo isósceles 38"/>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744F9" id="Triángulo isósceles 38" o:spid="_x0000_s1026" type="#_x0000_t5" style="position:absolute;margin-left:-1.35pt;margin-top:2.65pt;width:13.2pt;height:9.7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" fillcolor="#c00000" stroked="f" strokeweight="2pt"/>
                  </w:pict>
                </mc:Fallback>
              </mc:AlternateContent>
            </w:r>
            <w:r w:rsidRPr="00E251F3">
              <w:rPr>
                <w:rFonts w:ascii="Calibri" w:eastAsia="Calibri" w:hAnsi="Calibri" w:cs="Times New Roman"/>
                <w:b/>
                <w:color w:val="C00000"/>
                <w:sz w:val="18"/>
              </w:rPr>
              <w:t>-0,07 pp</w:t>
            </w:r>
          </w:p>
        </w:tc>
      </w:tr>
      <w:tr w:rsidR="00E251F3" w:rsidRPr="00E251F3" w14:paraId="6D049C26" w14:textId="77777777" w:rsidTr="00E251F3">
        <w:tc>
          <w:tcPr>
            <w:tcW w:w="562" w:type="dxa"/>
            <w:tcBorders>
              <w:top w:val="dotted" w:sz="4" w:space="0" w:color="60A527"/>
              <w:left w:val="nil"/>
              <w:bottom w:val="single" w:sz="4" w:space="0" w:color="FFFFFF"/>
              <w:right w:val="nil"/>
            </w:tcBorders>
            <w:vAlign w:val="center"/>
          </w:tcPr>
          <w:p w14:paraId="59586A5E"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b/>
                <w:color w:val="5EA226"/>
                <w:sz w:val="18"/>
              </w:rPr>
              <w:t>10</w:t>
            </w:r>
          </w:p>
        </w:tc>
        <w:tc>
          <w:tcPr>
            <w:tcW w:w="5682" w:type="dxa"/>
            <w:tcBorders>
              <w:top w:val="dotted" w:sz="4" w:space="0" w:color="60A527"/>
              <w:left w:val="nil"/>
              <w:bottom w:val="single" w:sz="4" w:space="0" w:color="FFFFFF"/>
              <w:right w:val="nil"/>
            </w:tcBorders>
          </w:tcPr>
          <w:p w14:paraId="2FF5877E"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Número de patentes relacionadas con el reciclaje y las materias primas secundarias</w:t>
            </w:r>
          </w:p>
        </w:tc>
        <w:tc>
          <w:tcPr>
            <w:tcW w:w="1843" w:type="dxa"/>
            <w:tcBorders>
              <w:top w:val="dotted" w:sz="4" w:space="0" w:color="60A527"/>
              <w:left w:val="nil"/>
              <w:bottom w:val="single" w:sz="4" w:space="0" w:color="FFFFFF"/>
              <w:right w:val="nil"/>
            </w:tcBorders>
            <w:vAlign w:val="center"/>
          </w:tcPr>
          <w:p w14:paraId="795BC376" w14:textId="77777777" w:rsidR="00E251F3" w:rsidRPr="00E251F3" w:rsidRDefault="00E251F3" w:rsidP="00E251F3">
            <w:pPr>
              <w:ind w:left="0"/>
              <w:jc w:val="center"/>
              <w:rPr>
                <w:rFonts w:ascii="Calibri" w:eastAsia="Calibri" w:hAnsi="Calibri" w:cs="Times New Roman"/>
                <w:color w:val="262626"/>
                <w:sz w:val="18"/>
              </w:rPr>
            </w:pPr>
            <w:r w:rsidRPr="00E251F3">
              <w:rPr>
                <w:rFonts w:ascii="Calibri" w:eastAsia="Calibri" w:hAnsi="Calibri" w:cs="Times New Roman"/>
                <w:color w:val="262626"/>
                <w:sz w:val="18"/>
              </w:rPr>
              <w:t>2 patentes</w:t>
            </w:r>
          </w:p>
        </w:tc>
        <w:tc>
          <w:tcPr>
            <w:tcW w:w="1276" w:type="dxa"/>
            <w:tcBorders>
              <w:top w:val="dotted" w:sz="4" w:space="0" w:color="60A527"/>
              <w:left w:val="nil"/>
              <w:bottom w:val="single" w:sz="4" w:space="0" w:color="FFFFFF"/>
              <w:right w:val="nil"/>
            </w:tcBorders>
            <w:shd w:val="clear" w:color="auto" w:fill="auto"/>
            <w:vAlign w:val="center"/>
          </w:tcPr>
          <w:p w14:paraId="50668C23" w14:textId="77777777" w:rsidR="00E251F3" w:rsidRPr="00E251F3" w:rsidRDefault="00E251F3" w:rsidP="00E251F3">
            <w:pPr>
              <w:ind w:left="0"/>
              <w:jc w:val="right"/>
              <w:rPr>
                <w:rFonts w:ascii="Calibri" w:eastAsia="Calibri" w:hAnsi="Calibri" w:cs="Times New Roman"/>
                <w:b/>
                <w:color w:val="3F6C19"/>
                <w:sz w:val="18"/>
              </w:rPr>
            </w:pPr>
            <w:r w:rsidRPr="00E251F3">
              <w:rPr>
                <w:rFonts w:ascii="Calibri" w:eastAsia="Calibri" w:hAnsi="Calibri" w:cs="Times New Roman"/>
                <w:b/>
                <w:noProof/>
                <w:color w:val="3F6C19"/>
                <w:sz w:val="18"/>
                <w:lang w:eastAsia="es-ES"/>
              </w:rPr>
              <mc:AlternateContent>
                <mc:Choice Requires="wps">
                  <w:drawing>
                    <wp:anchor distT="0" distB="0" distL="114300" distR="114300" simplePos="0" relativeHeight="251657216" behindDoc="0" locked="0" layoutInCell="1" allowOverlap="1" wp14:anchorId="6A665759" wp14:editId="299580BD">
                      <wp:simplePos x="0" y="0"/>
                      <wp:positionH relativeFrom="column">
                        <wp:posOffset>-30480</wp:posOffset>
                      </wp:positionH>
                      <wp:positionV relativeFrom="paragraph">
                        <wp:posOffset>21590</wp:posOffset>
                      </wp:positionV>
                      <wp:extent cx="167640" cy="123190"/>
                      <wp:effectExtent l="0" t="0" r="3810" b="0"/>
                      <wp:wrapNone/>
                      <wp:docPr id="156" name="Triángulo isósceles 156"/>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65F1" id="Triángulo isósceles 156" o:spid="_x0000_s1026" type="#_x0000_t5" style="position:absolute;margin-left:-2.4pt;margin-top:1.7pt;width:13.2pt;height: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" fillcolor="#3f6d19" stroked="f" strokeweight="2pt"/>
                  </w:pict>
                </mc:Fallback>
              </mc:AlternateContent>
            </w:r>
            <w:r w:rsidRPr="00E251F3">
              <w:rPr>
                <w:rFonts w:ascii="Calibri" w:eastAsia="Calibri" w:hAnsi="Calibri" w:cs="Times New Roman"/>
                <w:b/>
                <w:color w:val="3F6C19"/>
                <w:sz w:val="18"/>
              </w:rPr>
              <w:t>+100%</w:t>
            </w:r>
          </w:p>
          <w:p w14:paraId="091B07BD" w14:textId="77777777" w:rsidR="00E251F3" w:rsidRPr="00E251F3" w:rsidRDefault="00E251F3" w:rsidP="00E251F3">
            <w:pPr>
              <w:ind w:left="0"/>
              <w:jc w:val="right"/>
              <w:rPr>
                <w:rFonts w:ascii="Calibri" w:eastAsia="Calibri" w:hAnsi="Calibri" w:cs="Times New Roman"/>
                <w:b/>
                <w:color w:val="3F6C19"/>
                <w:sz w:val="18"/>
              </w:rPr>
            </w:pPr>
            <w:r w:rsidRPr="00E251F3">
              <w:rPr>
                <w:rFonts w:ascii="Calibri" w:eastAsia="Calibri" w:hAnsi="Calibri" w:cs="Times New Roman"/>
                <w:b/>
                <w:color w:val="3F6C19"/>
                <w:sz w:val="18"/>
              </w:rPr>
              <w:t>(1 patente)</w:t>
            </w:r>
          </w:p>
        </w:tc>
      </w:tr>
      <w:tr w:rsidR="00E251F3" w:rsidRPr="00E251F3" w14:paraId="181D265C" w14:textId="77777777" w:rsidTr="00E251F3">
        <w:trPr>
          <w:trHeight w:val="298"/>
        </w:trPr>
        <w:tc>
          <w:tcPr>
            <w:tcW w:w="9363" w:type="dxa"/>
            <w:gridSpan w:val="4"/>
            <w:tcBorders>
              <w:top w:val="single" w:sz="4" w:space="0" w:color="FFFFFF"/>
              <w:left w:val="nil"/>
              <w:bottom w:val="dotted" w:sz="4" w:space="0" w:color="60A527"/>
              <w:right w:val="nil"/>
            </w:tcBorders>
            <w:shd w:val="clear" w:color="auto" w:fill="5EA226"/>
            <w:vAlign w:val="center"/>
          </w:tcPr>
          <w:p w14:paraId="64E74A60" w14:textId="77777777" w:rsidR="00E251F3" w:rsidRPr="00E251F3" w:rsidRDefault="00E251F3" w:rsidP="00E251F3">
            <w:pPr>
              <w:ind w:left="184"/>
              <w:rPr>
                <w:rFonts w:ascii="Calibri" w:eastAsia="Calibri" w:hAnsi="Calibri" w:cs="Times New Roman"/>
                <w:b/>
                <w:color w:val="FFFFFF"/>
                <w:sz w:val="18"/>
              </w:rPr>
            </w:pPr>
            <w:r w:rsidRPr="00E251F3">
              <w:rPr>
                <w:rFonts w:ascii="Calibri" w:eastAsia="Calibri" w:hAnsi="Calibri" w:cs="Times New Roman"/>
                <w:b/>
                <w:color w:val="FFFFFF"/>
                <w:sz w:val="18"/>
              </w:rPr>
              <w:t>INDICADORES AUXILIARES PARA EUSKADI</w:t>
            </w:r>
          </w:p>
        </w:tc>
      </w:tr>
      <w:tr w:rsidR="00E251F3" w:rsidRPr="00E251F3" w14:paraId="430070E1" w14:textId="77777777" w:rsidTr="004C6ACD">
        <w:tc>
          <w:tcPr>
            <w:tcW w:w="562" w:type="dxa"/>
            <w:tcBorders>
              <w:top w:val="dotted" w:sz="4" w:space="0" w:color="60A527"/>
              <w:left w:val="nil"/>
              <w:bottom w:val="dotted" w:sz="4" w:space="0" w:color="60A527"/>
              <w:right w:val="nil"/>
            </w:tcBorders>
            <w:shd w:val="clear" w:color="auto" w:fill="auto"/>
            <w:vAlign w:val="center"/>
          </w:tcPr>
          <w:p w14:paraId="315556F6"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b/>
                <w:color w:val="5EA226"/>
                <w:sz w:val="18"/>
              </w:rPr>
              <w:t>11</w:t>
            </w:r>
          </w:p>
        </w:tc>
        <w:tc>
          <w:tcPr>
            <w:tcW w:w="5682" w:type="dxa"/>
            <w:tcBorders>
              <w:top w:val="dotted" w:sz="4" w:space="0" w:color="60A527"/>
              <w:left w:val="nil"/>
              <w:bottom w:val="dotted" w:sz="4" w:space="0" w:color="60A527"/>
              <w:right w:val="nil"/>
            </w:tcBorders>
            <w:shd w:val="clear" w:color="auto" w:fill="auto"/>
            <w:vAlign w:val="center"/>
          </w:tcPr>
          <w:p w14:paraId="31F5F668" w14:textId="77777777" w:rsidR="00E251F3" w:rsidRPr="00E251F3" w:rsidRDefault="00E251F3" w:rsidP="00E251F3">
            <w:pPr>
              <w:ind w:left="174"/>
              <w:rPr>
                <w:rFonts w:ascii="Calibri" w:eastAsia="Calibri" w:hAnsi="Calibri" w:cs="Times New Roman"/>
                <w:color w:val="262626"/>
                <w:sz w:val="18"/>
              </w:rPr>
            </w:pPr>
            <w:r w:rsidRPr="00E251F3">
              <w:rPr>
                <w:rFonts w:ascii="Calibri" w:eastAsia="Calibri" w:hAnsi="Calibri" w:cs="Times New Roman"/>
                <w:color w:val="262626"/>
                <w:sz w:val="18"/>
              </w:rPr>
              <w:t>Consumo Doméstico de Materiales (CDM)</w:t>
            </w:r>
          </w:p>
        </w:tc>
        <w:tc>
          <w:tcPr>
            <w:tcW w:w="1843" w:type="dxa"/>
            <w:tcBorders>
              <w:top w:val="dotted" w:sz="4" w:space="0" w:color="60A527"/>
              <w:left w:val="nil"/>
              <w:bottom w:val="dotted" w:sz="4" w:space="0" w:color="60A527"/>
              <w:right w:val="nil"/>
            </w:tcBorders>
            <w:shd w:val="clear" w:color="auto" w:fill="auto"/>
            <w:vAlign w:val="center"/>
          </w:tcPr>
          <w:p w14:paraId="43FAC1DB" w14:textId="77777777" w:rsidR="00E251F3" w:rsidRPr="00E251F3" w:rsidRDefault="00E251F3" w:rsidP="00E251F3">
            <w:pPr>
              <w:ind w:left="-111"/>
              <w:jc w:val="center"/>
              <w:rPr>
                <w:rFonts w:ascii="Calibri" w:eastAsia="Calibri" w:hAnsi="Calibri" w:cs="Times New Roman"/>
                <w:color w:val="262626"/>
                <w:sz w:val="18"/>
              </w:rPr>
            </w:pPr>
            <w:r w:rsidRPr="00E251F3">
              <w:rPr>
                <w:rFonts w:ascii="Calibri" w:eastAsia="Calibri" w:hAnsi="Calibri" w:cs="Times New Roman"/>
                <w:color w:val="262626"/>
                <w:sz w:val="18"/>
              </w:rPr>
              <w:t>13,1 t/hab.</w:t>
            </w:r>
          </w:p>
        </w:tc>
        <w:tc>
          <w:tcPr>
            <w:tcW w:w="1276" w:type="dxa"/>
            <w:tcBorders>
              <w:top w:val="dotted" w:sz="4" w:space="0" w:color="60A527"/>
              <w:left w:val="nil"/>
              <w:bottom w:val="dotted" w:sz="4" w:space="0" w:color="60A527"/>
              <w:right w:val="nil"/>
            </w:tcBorders>
            <w:shd w:val="clear" w:color="auto" w:fill="auto"/>
            <w:vAlign w:val="center"/>
          </w:tcPr>
          <w:p w14:paraId="05EBD2BE" w14:textId="77777777" w:rsidR="00E251F3" w:rsidRPr="00E251F3" w:rsidRDefault="00E251F3" w:rsidP="00E251F3">
            <w:pPr>
              <w:ind w:left="-111"/>
              <w:jc w:val="right"/>
              <w:rPr>
                <w:rFonts w:ascii="Calibri" w:eastAsia="Calibri" w:hAnsi="Calibri" w:cs="Times New Roman"/>
                <w:color w:val="262626"/>
                <w:sz w:val="18"/>
                <w:highlight w:val="yellow"/>
              </w:rPr>
            </w:pPr>
            <w:r w:rsidRPr="00E251F3">
              <w:rPr>
                <w:rFonts w:ascii="Calibri" w:eastAsia="Calibri" w:hAnsi="Calibri" w:cs="Times New Roman"/>
                <w:noProof/>
                <w:color w:val="C00000"/>
                <w:sz w:val="18"/>
                <w:lang w:eastAsia="es-ES"/>
              </w:rPr>
              <mc:AlternateContent>
                <mc:Choice Requires="wps">
                  <w:drawing>
                    <wp:anchor distT="0" distB="0" distL="114300" distR="114300" simplePos="0" relativeHeight="251662336" behindDoc="0" locked="0" layoutInCell="1" allowOverlap="1" wp14:anchorId="5DC9C96A" wp14:editId="677896D8">
                      <wp:simplePos x="0" y="0"/>
                      <wp:positionH relativeFrom="column">
                        <wp:posOffset>-29210</wp:posOffset>
                      </wp:positionH>
                      <wp:positionV relativeFrom="paragraph">
                        <wp:posOffset>12700</wp:posOffset>
                      </wp:positionV>
                      <wp:extent cx="167640" cy="123190"/>
                      <wp:effectExtent l="0" t="0" r="3810" b="0"/>
                      <wp:wrapNone/>
                      <wp:docPr id="158" name="Triángulo isósceles 158"/>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B31EB" id="Triángulo isósceles 158" o:spid="_x0000_s1026" type="#_x0000_t5" style="position:absolute;margin-left:-2.3pt;margin-top:1pt;width:13.2pt;height: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" fillcolor="#c00000" stroked="f" strokeweight="2pt"/>
                  </w:pict>
                </mc:Fallback>
              </mc:AlternateContent>
            </w:r>
            <w:r w:rsidRPr="00E251F3">
              <w:rPr>
                <w:rFonts w:ascii="Calibri" w:eastAsia="Calibri" w:hAnsi="Calibri" w:cs="Times New Roman"/>
                <w:b/>
                <w:color w:val="C00000"/>
                <w:sz w:val="18"/>
              </w:rPr>
              <w:t>+6,6%</w:t>
            </w:r>
          </w:p>
        </w:tc>
      </w:tr>
      <w:tr w:rsidR="00E251F3" w:rsidRPr="00E251F3" w14:paraId="144C87D2" w14:textId="77777777" w:rsidTr="004C6ACD">
        <w:tc>
          <w:tcPr>
            <w:tcW w:w="562" w:type="dxa"/>
            <w:tcBorders>
              <w:top w:val="dotted" w:sz="4" w:space="0" w:color="60A527"/>
              <w:left w:val="nil"/>
              <w:bottom w:val="dotted" w:sz="4" w:space="0" w:color="60A527"/>
              <w:right w:val="nil"/>
            </w:tcBorders>
            <w:shd w:val="clear" w:color="auto" w:fill="auto"/>
            <w:vAlign w:val="center"/>
          </w:tcPr>
          <w:p w14:paraId="02F747E0"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b/>
                <w:color w:val="5EA226"/>
                <w:sz w:val="18"/>
              </w:rPr>
              <w:t>12</w:t>
            </w:r>
          </w:p>
        </w:tc>
        <w:tc>
          <w:tcPr>
            <w:tcW w:w="5682" w:type="dxa"/>
            <w:tcBorders>
              <w:top w:val="dotted" w:sz="4" w:space="0" w:color="60A527"/>
              <w:left w:val="nil"/>
              <w:bottom w:val="dotted" w:sz="4" w:space="0" w:color="60A527"/>
              <w:right w:val="nil"/>
            </w:tcBorders>
            <w:shd w:val="clear" w:color="auto" w:fill="auto"/>
            <w:vAlign w:val="center"/>
          </w:tcPr>
          <w:p w14:paraId="638D1192" w14:textId="77777777" w:rsidR="00E251F3" w:rsidRPr="00E251F3" w:rsidRDefault="00E251F3" w:rsidP="00E251F3">
            <w:pPr>
              <w:ind w:left="174"/>
              <w:rPr>
                <w:rFonts w:ascii="Calibri" w:eastAsia="Calibri" w:hAnsi="Calibri" w:cs="Times New Roman"/>
                <w:color w:val="262626"/>
                <w:sz w:val="18"/>
              </w:rPr>
            </w:pPr>
            <w:r w:rsidRPr="00E251F3">
              <w:rPr>
                <w:rFonts w:ascii="Calibri" w:eastAsia="Calibri" w:hAnsi="Calibri" w:cs="Times New Roman"/>
                <w:color w:val="262626"/>
                <w:sz w:val="18"/>
              </w:rPr>
              <w:t>Productividad Material</w:t>
            </w:r>
          </w:p>
        </w:tc>
        <w:tc>
          <w:tcPr>
            <w:tcW w:w="1843" w:type="dxa"/>
            <w:tcBorders>
              <w:top w:val="dotted" w:sz="4" w:space="0" w:color="60A527"/>
              <w:left w:val="nil"/>
              <w:bottom w:val="dotted" w:sz="4" w:space="0" w:color="60A527"/>
              <w:right w:val="nil"/>
            </w:tcBorders>
            <w:shd w:val="clear" w:color="auto" w:fill="auto"/>
            <w:vAlign w:val="center"/>
          </w:tcPr>
          <w:p w14:paraId="35E80CE5" w14:textId="77777777" w:rsidR="00E251F3" w:rsidRPr="00E251F3" w:rsidRDefault="00E251F3" w:rsidP="00E251F3">
            <w:pPr>
              <w:ind w:left="-111"/>
              <w:jc w:val="center"/>
              <w:rPr>
                <w:rFonts w:ascii="Calibri" w:eastAsia="Calibri" w:hAnsi="Calibri" w:cs="Times New Roman"/>
                <w:color w:val="262626"/>
                <w:sz w:val="18"/>
                <w:highlight w:val="yellow"/>
              </w:rPr>
            </w:pPr>
            <w:r w:rsidRPr="00E251F3">
              <w:rPr>
                <w:rFonts w:ascii="Calibri" w:eastAsia="Calibri" w:hAnsi="Calibri" w:cs="Times New Roman"/>
                <w:color w:val="262626"/>
                <w:sz w:val="18"/>
              </w:rPr>
              <w:t>2,63 €/kg</w:t>
            </w:r>
          </w:p>
        </w:tc>
        <w:tc>
          <w:tcPr>
            <w:tcW w:w="1276" w:type="dxa"/>
            <w:tcBorders>
              <w:top w:val="dotted" w:sz="4" w:space="0" w:color="60A527"/>
              <w:left w:val="nil"/>
              <w:bottom w:val="dotted" w:sz="4" w:space="0" w:color="60A527"/>
              <w:right w:val="nil"/>
            </w:tcBorders>
            <w:shd w:val="clear" w:color="auto" w:fill="auto"/>
            <w:vAlign w:val="center"/>
          </w:tcPr>
          <w:p w14:paraId="22438B87" w14:textId="77777777" w:rsidR="00E251F3" w:rsidRPr="00E251F3" w:rsidRDefault="00E251F3" w:rsidP="00E251F3">
            <w:pPr>
              <w:ind w:left="-111"/>
              <w:jc w:val="right"/>
              <w:rPr>
                <w:rFonts w:ascii="Calibri" w:eastAsia="Calibri" w:hAnsi="Calibri" w:cs="Times New Roman"/>
                <w:color w:val="262626"/>
                <w:sz w:val="18"/>
                <w:highlight w:val="yellow"/>
              </w:rPr>
            </w:pPr>
            <w:r w:rsidRPr="00E251F3">
              <w:rPr>
                <w:rFonts w:ascii="Calibri" w:eastAsia="Calibri" w:hAnsi="Calibri" w:cs="Times New Roman"/>
                <w:noProof/>
                <w:color w:val="C00000"/>
                <w:sz w:val="18"/>
                <w:lang w:eastAsia="es-ES"/>
              </w:rPr>
              <mc:AlternateContent>
                <mc:Choice Requires="wps">
                  <w:drawing>
                    <wp:anchor distT="0" distB="0" distL="114300" distR="114300" simplePos="0" relativeHeight="251660288" behindDoc="0" locked="0" layoutInCell="1" allowOverlap="1" wp14:anchorId="4EECA67B" wp14:editId="183FC18D">
                      <wp:simplePos x="0" y="0"/>
                      <wp:positionH relativeFrom="column">
                        <wp:posOffset>-27305</wp:posOffset>
                      </wp:positionH>
                      <wp:positionV relativeFrom="paragraph">
                        <wp:posOffset>20320</wp:posOffset>
                      </wp:positionV>
                      <wp:extent cx="167640" cy="123190"/>
                      <wp:effectExtent l="0" t="0" r="3810" b="0"/>
                      <wp:wrapNone/>
                      <wp:docPr id="157" name="Triángulo isósceles 157"/>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E9EB4" id="Triángulo isósceles 157" o:spid="_x0000_s1026" type="#_x0000_t5" style="position:absolute;margin-left:-2.15pt;margin-top:1.6pt;width:13.2pt;height:9.7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" fillcolor="#c00000" stroked="f" strokeweight="2pt"/>
                  </w:pict>
                </mc:Fallback>
              </mc:AlternateContent>
            </w:r>
            <w:r w:rsidRPr="00E251F3">
              <w:rPr>
                <w:rFonts w:ascii="Calibri" w:eastAsia="Calibri" w:hAnsi="Calibri" w:cs="Times New Roman"/>
                <w:b/>
                <w:color w:val="C00000"/>
                <w:sz w:val="18"/>
              </w:rPr>
              <w:t>-3,4%</w:t>
            </w:r>
          </w:p>
        </w:tc>
      </w:tr>
      <w:tr w:rsidR="00E251F3" w:rsidRPr="00E251F3" w14:paraId="708EFFFA" w14:textId="77777777" w:rsidTr="00E251F3">
        <w:trPr>
          <w:trHeight w:val="206"/>
        </w:trPr>
        <w:tc>
          <w:tcPr>
            <w:tcW w:w="562" w:type="dxa"/>
            <w:vMerge w:val="restart"/>
            <w:tcBorders>
              <w:top w:val="dotted" w:sz="4" w:space="0" w:color="60A527"/>
              <w:left w:val="nil"/>
              <w:bottom w:val="nil"/>
              <w:right w:val="nil"/>
            </w:tcBorders>
            <w:shd w:val="clear" w:color="auto" w:fill="auto"/>
            <w:vAlign w:val="center"/>
          </w:tcPr>
          <w:p w14:paraId="57034B98"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b/>
                <w:color w:val="5EA226"/>
                <w:sz w:val="18"/>
              </w:rPr>
              <w:t>13</w:t>
            </w:r>
          </w:p>
        </w:tc>
        <w:tc>
          <w:tcPr>
            <w:tcW w:w="5682" w:type="dxa"/>
            <w:vMerge w:val="restart"/>
            <w:tcBorders>
              <w:top w:val="dotted" w:sz="4" w:space="0" w:color="60A527"/>
              <w:left w:val="nil"/>
              <w:bottom w:val="nil"/>
              <w:right w:val="nil"/>
            </w:tcBorders>
            <w:shd w:val="clear" w:color="auto" w:fill="auto"/>
            <w:vAlign w:val="center"/>
          </w:tcPr>
          <w:p w14:paraId="3477EAEC" w14:textId="77777777" w:rsidR="00E251F3" w:rsidRPr="00E251F3" w:rsidRDefault="00E251F3" w:rsidP="00E251F3">
            <w:pPr>
              <w:ind w:left="174"/>
              <w:rPr>
                <w:rFonts w:ascii="Calibri" w:eastAsia="Calibri" w:hAnsi="Calibri" w:cs="Times New Roman"/>
                <w:color w:val="262626"/>
                <w:sz w:val="18"/>
              </w:rPr>
            </w:pPr>
            <w:r w:rsidRPr="00E251F3">
              <w:rPr>
                <w:rFonts w:ascii="Calibri" w:eastAsia="Calibri" w:hAnsi="Calibri" w:cs="Times New Roman"/>
                <w:color w:val="262626"/>
                <w:sz w:val="18"/>
              </w:rPr>
              <w:t>Flujos de materiales per cápita</w:t>
            </w:r>
          </w:p>
        </w:tc>
        <w:tc>
          <w:tcPr>
            <w:tcW w:w="1843" w:type="dxa"/>
            <w:vMerge w:val="restart"/>
            <w:tcBorders>
              <w:top w:val="dotted" w:sz="4" w:space="0" w:color="60A527"/>
              <w:left w:val="nil"/>
              <w:bottom w:val="nil"/>
              <w:right w:val="nil"/>
            </w:tcBorders>
            <w:shd w:val="clear" w:color="auto" w:fill="auto"/>
            <w:vAlign w:val="center"/>
          </w:tcPr>
          <w:p w14:paraId="777C3E5E" w14:textId="77777777" w:rsidR="00E251F3" w:rsidRPr="00E251F3" w:rsidRDefault="00E251F3" w:rsidP="00E251F3">
            <w:pPr>
              <w:ind w:left="0"/>
              <w:rPr>
                <w:rFonts w:ascii="Calibri" w:eastAsia="Calibri" w:hAnsi="Calibri" w:cs="Times New Roman"/>
                <w:color w:val="262626"/>
                <w:sz w:val="18"/>
                <w:lang w:val="en-GB"/>
              </w:rPr>
            </w:pPr>
            <w:r w:rsidRPr="00E251F3">
              <w:rPr>
                <w:rFonts w:ascii="Calibri" w:eastAsia="Calibri" w:hAnsi="Calibri" w:cs="Times New Roman"/>
                <w:color w:val="262626"/>
                <w:sz w:val="18"/>
                <w:lang w:val="en-GB"/>
              </w:rPr>
              <w:t>ED: 5,9 t/hab.</w:t>
            </w:r>
          </w:p>
          <w:p w14:paraId="747185CB" w14:textId="77777777" w:rsidR="00E251F3" w:rsidRPr="00E251F3" w:rsidRDefault="00E251F3" w:rsidP="00E251F3">
            <w:pPr>
              <w:ind w:left="0"/>
              <w:rPr>
                <w:rFonts w:ascii="Calibri" w:eastAsia="Calibri" w:hAnsi="Calibri" w:cs="Times New Roman"/>
                <w:color w:val="262626"/>
                <w:sz w:val="18"/>
                <w:lang w:val="en-GB"/>
              </w:rPr>
            </w:pPr>
            <w:r w:rsidRPr="00E251F3">
              <w:rPr>
                <w:rFonts w:ascii="Calibri" w:eastAsia="Calibri" w:hAnsi="Calibri" w:cs="Times New Roman"/>
                <w:color w:val="262626"/>
                <w:sz w:val="18"/>
                <w:lang w:val="en-GB"/>
              </w:rPr>
              <w:t>EXP: 11,2 t/hab.</w:t>
            </w:r>
          </w:p>
          <w:p w14:paraId="4226C172" w14:textId="77777777" w:rsidR="00E251F3" w:rsidRPr="00E251F3" w:rsidRDefault="00E251F3" w:rsidP="00E251F3">
            <w:pPr>
              <w:ind w:left="0"/>
              <w:rPr>
                <w:rFonts w:ascii="Calibri" w:eastAsia="Calibri" w:hAnsi="Calibri" w:cs="Times New Roman"/>
                <w:color w:val="262626"/>
                <w:sz w:val="18"/>
                <w:lang w:val="en-US"/>
              </w:rPr>
            </w:pPr>
            <w:r w:rsidRPr="00E251F3">
              <w:rPr>
                <w:rFonts w:ascii="Calibri" w:eastAsia="Calibri" w:hAnsi="Calibri" w:cs="Times New Roman"/>
                <w:color w:val="262626"/>
                <w:sz w:val="18"/>
                <w:lang w:val="en-US"/>
              </w:rPr>
              <w:t>IMP: 18,4 t/hab.</w:t>
            </w:r>
          </w:p>
        </w:tc>
        <w:tc>
          <w:tcPr>
            <w:tcW w:w="1276" w:type="dxa"/>
            <w:tcBorders>
              <w:top w:val="dotted" w:sz="4" w:space="0" w:color="60A527"/>
              <w:left w:val="nil"/>
              <w:bottom w:val="nil"/>
              <w:right w:val="nil"/>
            </w:tcBorders>
            <w:shd w:val="clear" w:color="auto" w:fill="FFFFFF"/>
            <w:vAlign w:val="center"/>
          </w:tcPr>
          <w:p w14:paraId="63D80043" w14:textId="77777777" w:rsidR="00E251F3" w:rsidRPr="00E251F3" w:rsidRDefault="00E251F3" w:rsidP="00E251F3">
            <w:pPr>
              <w:ind w:left="0"/>
              <w:jc w:val="right"/>
              <w:rPr>
                <w:rFonts w:ascii="Calibri" w:eastAsia="Calibri" w:hAnsi="Calibri" w:cs="Times New Roman"/>
                <w:color w:val="262626"/>
                <w:sz w:val="18"/>
                <w:lang w:val="en-GB"/>
              </w:rPr>
            </w:pPr>
            <w:r w:rsidRPr="00E251F3">
              <w:rPr>
                <w:rFonts w:ascii="Calibri" w:eastAsia="Calibri" w:hAnsi="Calibri" w:cs="Times New Roman"/>
                <w:noProof/>
                <w:color w:val="C00000"/>
                <w:sz w:val="18"/>
                <w:lang w:eastAsia="es-ES"/>
              </w:rPr>
              <mc:AlternateContent>
                <mc:Choice Requires="wps">
                  <w:drawing>
                    <wp:anchor distT="0" distB="0" distL="114300" distR="114300" simplePos="0" relativeHeight="251666432" behindDoc="0" locked="0" layoutInCell="1" allowOverlap="1" wp14:anchorId="26337A31" wp14:editId="60F0F2F8">
                      <wp:simplePos x="0" y="0"/>
                      <wp:positionH relativeFrom="column">
                        <wp:posOffset>-26670</wp:posOffset>
                      </wp:positionH>
                      <wp:positionV relativeFrom="paragraph">
                        <wp:posOffset>28575</wp:posOffset>
                      </wp:positionV>
                      <wp:extent cx="167640" cy="123190"/>
                      <wp:effectExtent l="0" t="0" r="3810" b="0"/>
                      <wp:wrapNone/>
                      <wp:docPr id="162" name="Triángulo isósceles 162"/>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B169C" id="Triángulo isósceles 162" o:spid="_x0000_s1026" type="#_x0000_t5" style="position:absolute;margin-left:-2.1pt;margin-top:2.25pt;width:13.2pt;height: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" fillcolor="#c00000" stroked="f" strokeweight="2pt"/>
                  </w:pict>
                </mc:Fallback>
              </mc:AlternateContent>
            </w:r>
            <w:r w:rsidRPr="00E251F3">
              <w:rPr>
                <w:rFonts w:ascii="Calibri" w:eastAsia="Calibri" w:hAnsi="Calibri" w:cs="Times New Roman"/>
                <w:b/>
                <w:color w:val="C00000"/>
                <w:sz w:val="18"/>
              </w:rPr>
              <w:t>+6,9%</w:t>
            </w:r>
          </w:p>
        </w:tc>
      </w:tr>
      <w:tr w:rsidR="00E251F3" w:rsidRPr="00E251F3" w14:paraId="35FA4215" w14:textId="77777777" w:rsidTr="00E251F3">
        <w:trPr>
          <w:trHeight w:val="204"/>
        </w:trPr>
        <w:tc>
          <w:tcPr>
            <w:tcW w:w="562" w:type="dxa"/>
            <w:vMerge/>
            <w:tcBorders>
              <w:top w:val="nil"/>
              <w:left w:val="nil"/>
              <w:bottom w:val="nil"/>
              <w:right w:val="nil"/>
            </w:tcBorders>
            <w:shd w:val="clear" w:color="auto" w:fill="auto"/>
            <w:vAlign w:val="center"/>
          </w:tcPr>
          <w:p w14:paraId="38FEFA67" w14:textId="77777777" w:rsidR="00E251F3" w:rsidRPr="00E251F3" w:rsidRDefault="00E251F3" w:rsidP="00E251F3">
            <w:pPr>
              <w:ind w:left="0"/>
              <w:rPr>
                <w:rFonts w:ascii="Calibri" w:eastAsia="Calibri" w:hAnsi="Calibri" w:cs="Times New Roman"/>
                <w:b/>
                <w:color w:val="5EA226"/>
                <w:sz w:val="18"/>
                <w:highlight w:val="yellow"/>
              </w:rPr>
            </w:pPr>
          </w:p>
        </w:tc>
        <w:tc>
          <w:tcPr>
            <w:tcW w:w="5682" w:type="dxa"/>
            <w:vMerge/>
            <w:tcBorders>
              <w:top w:val="nil"/>
              <w:left w:val="nil"/>
              <w:bottom w:val="nil"/>
              <w:right w:val="nil"/>
            </w:tcBorders>
            <w:shd w:val="clear" w:color="auto" w:fill="auto"/>
            <w:vAlign w:val="center"/>
          </w:tcPr>
          <w:p w14:paraId="28D92081" w14:textId="77777777" w:rsidR="00E251F3" w:rsidRPr="00E251F3" w:rsidRDefault="00E251F3" w:rsidP="00E251F3">
            <w:pPr>
              <w:ind w:left="174"/>
              <w:rPr>
                <w:rFonts w:ascii="Calibri" w:eastAsia="Calibri" w:hAnsi="Calibri" w:cs="Times New Roman"/>
                <w:color w:val="262626"/>
                <w:sz w:val="18"/>
                <w:highlight w:val="yellow"/>
              </w:rPr>
            </w:pPr>
          </w:p>
        </w:tc>
        <w:tc>
          <w:tcPr>
            <w:tcW w:w="1843" w:type="dxa"/>
            <w:vMerge/>
            <w:tcBorders>
              <w:top w:val="nil"/>
              <w:left w:val="nil"/>
              <w:bottom w:val="nil"/>
              <w:right w:val="nil"/>
            </w:tcBorders>
            <w:shd w:val="clear" w:color="auto" w:fill="auto"/>
            <w:vAlign w:val="center"/>
          </w:tcPr>
          <w:p w14:paraId="2CC0BB99" w14:textId="77777777" w:rsidR="00E251F3" w:rsidRPr="00E251F3" w:rsidRDefault="00E251F3" w:rsidP="00E251F3">
            <w:pPr>
              <w:ind w:left="0"/>
              <w:rPr>
                <w:rFonts w:ascii="Calibri" w:eastAsia="Calibri" w:hAnsi="Calibri" w:cs="Times New Roman"/>
                <w:color w:val="262626"/>
                <w:sz w:val="18"/>
                <w:highlight w:val="yellow"/>
                <w:lang w:val="en-GB"/>
              </w:rPr>
            </w:pPr>
          </w:p>
        </w:tc>
        <w:tc>
          <w:tcPr>
            <w:tcW w:w="1276" w:type="dxa"/>
            <w:tcBorders>
              <w:top w:val="nil"/>
              <w:left w:val="nil"/>
              <w:bottom w:val="nil"/>
              <w:right w:val="nil"/>
            </w:tcBorders>
            <w:shd w:val="clear" w:color="auto" w:fill="FFFFFF"/>
            <w:vAlign w:val="center"/>
          </w:tcPr>
          <w:p w14:paraId="78E9A20A" w14:textId="77777777" w:rsidR="00E251F3" w:rsidRPr="00E251F3" w:rsidRDefault="00E251F3" w:rsidP="00E251F3">
            <w:pPr>
              <w:ind w:left="0"/>
              <w:jc w:val="right"/>
              <w:rPr>
                <w:rFonts w:ascii="Calibri" w:eastAsia="Calibri" w:hAnsi="Calibri" w:cs="Times New Roman"/>
                <w:color w:val="262626"/>
                <w:sz w:val="18"/>
                <w:highlight w:val="yellow"/>
                <w:lang w:val="en-GB"/>
              </w:rPr>
            </w:pPr>
            <w:r w:rsidRPr="00E251F3">
              <w:rPr>
                <w:rFonts w:ascii="Calibri" w:eastAsia="Calibri" w:hAnsi="Calibri" w:cs="Times New Roman"/>
                <w:noProof/>
                <w:color w:val="C00000"/>
                <w:sz w:val="18"/>
                <w:lang w:eastAsia="es-ES"/>
              </w:rPr>
              <mc:AlternateContent>
                <mc:Choice Requires="wps">
                  <w:drawing>
                    <wp:anchor distT="0" distB="0" distL="114300" distR="114300" simplePos="0" relativeHeight="251668480" behindDoc="0" locked="0" layoutInCell="1" allowOverlap="1" wp14:anchorId="760FFE51" wp14:editId="16A60F81">
                      <wp:simplePos x="0" y="0"/>
                      <wp:positionH relativeFrom="column">
                        <wp:posOffset>-31750</wp:posOffset>
                      </wp:positionH>
                      <wp:positionV relativeFrom="paragraph">
                        <wp:posOffset>19050</wp:posOffset>
                      </wp:positionV>
                      <wp:extent cx="167640" cy="123190"/>
                      <wp:effectExtent l="0" t="0" r="3810" b="0"/>
                      <wp:wrapNone/>
                      <wp:docPr id="163" name="Triángulo isósceles 163"/>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B0167" id="Triángulo isósceles 163" o:spid="_x0000_s1026" type="#_x0000_t5" style="position:absolute;margin-left:-2.5pt;margin-top:1.5pt;width:13.2pt;height: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" fillcolor="#c00000" stroked="f" strokeweight="2pt"/>
                  </w:pict>
                </mc:Fallback>
              </mc:AlternateContent>
            </w:r>
            <w:r w:rsidRPr="00E251F3">
              <w:rPr>
                <w:rFonts w:ascii="Calibri" w:eastAsia="Calibri" w:hAnsi="Calibri" w:cs="Times New Roman"/>
                <w:b/>
                <w:color w:val="C00000"/>
                <w:sz w:val="18"/>
              </w:rPr>
              <w:t>+0,8%</w:t>
            </w:r>
          </w:p>
        </w:tc>
      </w:tr>
      <w:tr w:rsidR="00E251F3" w:rsidRPr="00E251F3" w14:paraId="7C2F1D84" w14:textId="77777777" w:rsidTr="00E251F3">
        <w:trPr>
          <w:trHeight w:val="204"/>
        </w:trPr>
        <w:tc>
          <w:tcPr>
            <w:tcW w:w="562" w:type="dxa"/>
            <w:vMerge/>
            <w:tcBorders>
              <w:top w:val="nil"/>
              <w:left w:val="nil"/>
              <w:bottom w:val="dotted" w:sz="4" w:space="0" w:color="60A527"/>
              <w:right w:val="nil"/>
            </w:tcBorders>
            <w:shd w:val="clear" w:color="auto" w:fill="auto"/>
            <w:vAlign w:val="center"/>
          </w:tcPr>
          <w:p w14:paraId="5CC6018F" w14:textId="77777777" w:rsidR="00E251F3" w:rsidRPr="00E251F3" w:rsidRDefault="00E251F3" w:rsidP="00E251F3">
            <w:pPr>
              <w:ind w:left="0"/>
              <w:rPr>
                <w:rFonts w:ascii="Calibri" w:eastAsia="Calibri" w:hAnsi="Calibri" w:cs="Times New Roman"/>
                <w:b/>
                <w:color w:val="5EA226"/>
                <w:sz w:val="18"/>
                <w:highlight w:val="yellow"/>
              </w:rPr>
            </w:pPr>
          </w:p>
        </w:tc>
        <w:tc>
          <w:tcPr>
            <w:tcW w:w="5682" w:type="dxa"/>
            <w:vMerge/>
            <w:tcBorders>
              <w:top w:val="nil"/>
              <w:left w:val="nil"/>
              <w:bottom w:val="dotted" w:sz="4" w:space="0" w:color="60A527"/>
              <w:right w:val="nil"/>
            </w:tcBorders>
            <w:shd w:val="clear" w:color="auto" w:fill="auto"/>
            <w:vAlign w:val="center"/>
          </w:tcPr>
          <w:p w14:paraId="3336B44D" w14:textId="77777777" w:rsidR="00E251F3" w:rsidRPr="00E251F3" w:rsidRDefault="00E251F3" w:rsidP="00E251F3">
            <w:pPr>
              <w:ind w:left="174"/>
              <w:rPr>
                <w:rFonts w:ascii="Calibri" w:eastAsia="Calibri" w:hAnsi="Calibri" w:cs="Times New Roman"/>
                <w:color w:val="262626"/>
                <w:sz w:val="18"/>
                <w:highlight w:val="yellow"/>
              </w:rPr>
            </w:pPr>
          </w:p>
        </w:tc>
        <w:tc>
          <w:tcPr>
            <w:tcW w:w="1843" w:type="dxa"/>
            <w:vMerge/>
            <w:tcBorders>
              <w:top w:val="nil"/>
              <w:left w:val="nil"/>
              <w:bottom w:val="dotted" w:sz="4" w:space="0" w:color="60A527"/>
              <w:right w:val="nil"/>
            </w:tcBorders>
            <w:shd w:val="clear" w:color="auto" w:fill="auto"/>
            <w:vAlign w:val="center"/>
          </w:tcPr>
          <w:p w14:paraId="54AFB049" w14:textId="77777777" w:rsidR="00E251F3" w:rsidRPr="00E251F3" w:rsidRDefault="00E251F3" w:rsidP="00E251F3">
            <w:pPr>
              <w:ind w:left="0"/>
              <w:rPr>
                <w:rFonts w:ascii="Calibri" w:eastAsia="Calibri" w:hAnsi="Calibri" w:cs="Times New Roman"/>
                <w:color w:val="262626"/>
                <w:sz w:val="18"/>
                <w:highlight w:val="yellow"/>
                <w:lang w:val="en-GB"/>
              </w:rPr>
            </w:pPr>
          </w:p>
        </w:tc>
        <w:tc>
          <w:tcPr>
            <w:tcW w:w="1276" w:type="dxa"/>
            <w:tcBorders>
              <w:top w:val="nil"/>
              <w:left w:val="nil"/>
              <w:bottom w:val="dotted" w:sz="4" w:space="0" w:color="60A527"/>
              <w:right w:val="nil"/>
            </w:tcBorders>
            <w:shd w:val="clear" w:color="auto" w:fill="FFFFFF"/>
            <w:vAlign w:val="center"/>
          </w:tcPr>
          <w:p w14:paraId="730AB0D7" w14:textId="77777777" w:rsidR="00E251F3" w:rsidRPr="00E251F3" w:rsidRDefault="00E251F3" w:rsidP="00E251F3">
            <w:pPr>
              <w:ind w:left="0"/>
              <w:jc w:val="right"/>
              <w:rPr>
                <w:rFonts w:ascii="Calibri" w:eastAsia="Calibri" w:hAnsi="Calibri" w:cs="Times New Roman"/>
                <w:color w:val="262626"/>
                <w:sz w:val="18"/>
                <w:highlight w:val="yellow"/>
                <w:lang w:val="en-GB"/>
              </w:rPr>
            </w:pPr>
            <w:r w:rsidRPr="00E251F3">
              <w:rPr>
                <w:rFonts w:ascii="Calibri" w:eastAsia="Calibri" w:hAnsi="Calibri" w:cs="Times New Roman"/>
                <w:noProof/>
                <w:color w:val="C00000"/>
                <w:sz w:val="18"/>
                <w:lang w:eastAsia="es-ES"/>
              </w:rPr>
              <mc:AlternateContent>
                <mc:Choice Requires="wps">
                  <w:drawing>
                    <wp:anchor distT="0" distB="0" distL="114300" distR="114300" simplePos="0" relativeHeight="251670528" behindDoc="0" locked="0" layoutInCell="1" allowOverlap="1" wp14:anchorId="2FDDEAA3" wp14:editId="7BAD818E">
                      <wp:simplePos x="0" y="0"/>
                      <wp:positionH relativeFrom="column">
                        <wp:posOffset>-31750</wp:posOffset>
                      </wp:positionH>
                      <wp:positionV relativeFrom="paragraph">
                        <wp:posOffset>11430</wp:posOffset>
                      </wp:positionV>
                      <wp:extent cx="167640" cy="123190"/>
                      <wp:effectExtent l="0" t="0" r="3810" b="0"/>
                      <wp:wrapNone/>
                      <wp:docPr id="164" name="Triángulo isósceles 164"/>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323BB" id="Triángulo isósceles 164" o:spid="_x0000_s1026" type="#_x0000_t5" style="position:absolute;margin-left:-2.5pt;margin-top:.9pt;width:13.2pt;height: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" fillcolor="#c00000" stroked="f" strokeweight="2pt"/>
                  </w:pict>
                </mc:Fallback>
              </mc:AlternateContent>
            </w:r>
            <w:r w:rsidRPr="00E251F3">
              <w:rPr>
                <w:rFonts w:ascii="Calibri" w:eastAsia="Calibri" w:hAnsi="Calibri" w:cs="Times New Roman"/>
                <w:b/>
                <w:color w:val="C00000"/>
                <w:sz w:val="18"/>
              </w:rPr>
              <w:t>+2,9%</w:t>
            </w:r>
          </w:p>
        </w:tc>
      </w:tr>
      <w:tr w:rsidR="00E251F3" w:rsidRPr="00E251F3" w14:paraId="70689B05" w14:textId="77777777" w:rsidTr="004C6ACD">
        <w:trPr>
          <w:trHeight w:val="206"/>
        </w:trPr>
        <w:tc>
          <w:tcPr>
            <w:tcW w:w="562" w:type="dxa"/>
            <w:vMerge w:val="restart"/>
            <w:tcBorders>
              <w:top w:val="dotted" w:sz="4" w:space="0" w:color="60A527"/>
              <w:left w:val="nil"/>
              <w:bottom w:val="nil"/>
              <w:right w:val="nil"/>
            </w:tcBorders>
            <w:shd w:val="clear" w:color="auto" w:fill="auto"/>
            <w:vAlign w:val="center"/>
          </w:tcPr>
          <w:p w14:paraId="368C4312"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b/>
                <w:color w:val="5EA226"/>
                <w:sz w:val="18"/>
              </w:rPr>
              <w:t>14</w:t>
            </w:r>
          </w:p>
        </w:tc>
        <w:tc>
          <w:tcPr>
            <w:tcW w:w="5682" w:type="dxa"/>
            <w:vMerge w:val="restart"/>
            <w:tcBorders>
              <w:top w:val="dotted" w:sz="4" w:space="0" w:color="60A527"/>
              <w:left w:val="nil"/>
              <w:bottom w:val="nil"/>
              <w:right w:val="nil"/>
            </w:tcBorders>
            <w:shd w:val="clear" w:color="auto" w:fill="auto"/>
            <w:vAlign w:val="center"/>
          </w:tcPr>
          <w:p w14:paraId="3DF5D597" w14:textId="77777777" w:rsidR="00E251F3" w:rsidRPr="00E251F3" w:rsidRDefault="00E251F3" w:rsidP="00E251F3">
            <w:pPr>
              <w:ind w:left="174"/>
              <w:rPr>
                <w:rFonts w:ascii="Calibri" w:eastAsia="Calibri" w:hAnsi="Calibri" w:cs="Times New Roman"/>
                <w:color w:val="262626"/>
                <w:sz w:val="18"/>
              </w:rPr>
            </w:pPr>
            <w:r w:rsidRPr="00E251F3">
              <w:rPr>
                <w:rFonts w:ascii="Calibri" w:eastAsia="Calibri" w:hAnsi="Calibri" w:cs="Times New Roman"/>
                <w:color w:val="262626"/>
                <w:sz w:val="18"/>
              </w:rPr>
              <w:t>Tratamiento de residuos totales</w:t>
            </w:r>
          </w:p>
        </w:tc>
        <w:tc>
          <w:tcPr>
            <w:tcW w:w="1843" w:type="dxa"/>
            <w:vMerge w:val="restart"/>
            <w:tcBorders>
              <w:top w:val="dotted" w:sz="4" w:space="0" w:color="60A527"/>
              <w:left w:val="nil"/>
              <w:bottom w:val="nil"/>
              <w:right w:val="nil"/>
            </w:tcBorders>
            <w:shd w:val="clear" w:color="auto" w:fill="auto"/>
            <w:vAlign w:val="center"/>
          </w:tcPr>
          <w:p w14:paraId="1B0FE9B5"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Recicl.: 1,17 t/hab.</w:t>
            </w:r>
          </w:p>
          <w:p w14:paraId="4C859527" w14:textId="77777777" w:rsidR="00E251F3" w:rsidRPr="00E251F3" w:rsidRDefault="00E251F3" w:rsidP="00E251F3">
            <w:pPr>
              <w:ind w:left="0"/>
              <w:rPr>
                <w:rFonts w:ascii="Calibri" w:eastAsia="Calibri" w:hAnsi="Calibri" w:cs="Times New Roman"/>
                <w:color w:val="262626"/>
                <w:sz w:val="18"/>
              </w:rPr>
            </w:pPr>
            <w:r w:rsidRPr="00E251F3">
              <w:rPr>
                <w:rFonts w:ascii="Calibri" w:eastAsia="Calibri" w:hAnsi="Calibri" w:cs="Times New Roman"/>
                <w:color w:val="262626"/>
                <w:sz w:val="18"/>
              </w:rPr>
              <w:t>V.Ener.: 0,16 t/hab.</w:t>
            </w:r>
          </w:p>
          <w:p w14:paraId="3BB7CF30" w14:textId="77777777" w:rsidR="00E251F3" w:rsidRPr="00E251F3" w:rsidRDefault="00E251F3" w:rsidP="00E251F3">
            <w:pPr>
              <w:ind w:left="0"/>
              <w:rPr>
                <w:rFonts w:ascii="Calibri" w:eastAsia="Calibri" w:hAnsi="Calibri" w:cs="Times New Roman"/>
                <w:color w:val="262626"/>
                <w:sz w:val="18"/>
                <w:highlight w:val="yellow"/>
                <w:lang w:val="en-US"/>
              </w:rPr>
            </w:pPr>
            <w:r w:rsidRPr="00E251F3">
              <w:rPr>
                <w:rFonts w:ascii="Calibri" w:eastAsia="Calibri" w:hAnsi="Calibri" w:cs="Times New Roman"/>
                <w:color w:val="262626"/>
                <w:sz w:val="18"/>
                <w:lang w:val="en-US"/>
              </w:rPr>
              <w:t>Verted.: 0,9 t/hab.</w:t>
            </w:r>
            <w:r w:rsidRPr="00E251F3">
              <w:rPr>
                <w:rFonts w:ascii="Calibri" w:eastAsia="Calibri" w:hAnsi="Calibri" w:cs="Times New Roman"/>
                <w:color w:val="262626"/>
                <w:sz w:val="18"/>
              </w:rPr>
              <w:t xml:space="preserve"> </w:t>
            </w:r>
          </w:p>
        </w:tc>
        <w:tc>
          <w:tcPr>
            <w:tcW w:w="1276" w:type="dxa"/>
            <w:tcBorders>
              <w:top w:val="dotted" w:sz="4" w:space="0" w:color="60A527"/>
              <w:left w:val="nil"/>
              <w:bottom w:val="nil"/>
              <w:right w:val="nil"/>
            </w:tcBorders>
            <w:shd w:val="clear" w:color="auto" w:fill="auto"/>
            <w:vAlign w:val="center"/>
          </w:tcPr>
          <w:p w14:paraId="15942BFF" w14:textId="77777777" w:rsidR="00E251F3" w:rsidRPr="00E251F3" w:rsidRDefault="00E251F3" w:rsidP="00E251F3">
            <w:pPr>
              <w:ind w:left="0"/>
              <w:jc w:val="right"/>
              <w:rPr>
                <w:rFonts w:ascii="Calibri" w:eastAsia="Calibri" w:hAnsi="Calibri" w:cs="Times New Roman"/>
                <w:b/>
                <w:color w:val="3F6C19"/>
                <w:sz w:val="18"/>
                <w:highlight w:val="yellow"/>
              </w:rPr>
            </w:pPr>
            <w:r w:rsidRPr="00E251F3">
              <w:rPr>
                <w:rFonts w:ascii="Calibri" w:eastAsia="Calibri" w:hAnsi="Calibri" w:cs="Times New Roman"/>
                <w:b/>
                <w:noProof/>
                <w:color w:val="3F6C19"/>
                <w:sz w:val="18"/>
                <w:lang w:eastAsia="es-ES"/>
              </w:rPr>
              <mc:AlternateContent>
                <mc:Choice Requires="wps">
                  <w:drawing>
                    <wp:anchor distT="0" distB="0" distL="114300" distR="114300" simplePos="0" relativeHeight="251674624" behindDoc="0" locked="0" layoutInCell="1" allowOverlap="1" wp14:anchorId="7D037F38" wp14:editId="4A501F8B">
                      <wp:simplePos x="0" y="0"/>
                      <wp:positionH relativeFrom="column">
                        <wp:posOffset>-29947</wp:posOffset>
                      </wp:positionH>
                      <wp:positionV relativeFrom="paragraph">
                        <wp:posOffset>173482</wp:posOffset>
                      </wp:positionV>
                      <wp:extent cx="167640" cy="123190"/>
                      <wp:effectExtent l="0" t="0" r="3810" b="0"/>
                      <wp:wrapNone/>
                      <wp:docPr id="166" name="Triángulo isósceles 166"/>
                      <wp:cNvGraphicFramePr/>
                      <a:graphic xmlns:a="http://schemas.openxmlformats.org/drawingml/2006/main">
                        <a:graphicData uri="http://schemas.microsoft.com/office/word/2010/wordprocessingShape">
                          <wps:wsp>
                            <wps:cNvSpPr/>
                            <wps:spPr>
                              <a:xfrm rot="10800000">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D3B43" id="Triángulo isósceles 166" o:spid="_x0000_s1026" type="#_x0000_t5" style="position:absolute;margin-left:-2.35pt;margin-top:13.65pt;width:13.2pt;height:9.7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" fillcolor="#c00000" stroked="f" strokeweight="2pt"/>
                  </w:pict>
                </mc:Fallback>
              </mc:AlternateContent>
            </w:r>
            <w:r w:rsidRPr="00E251F3">
              <w:rPr>
                <w:rFonts w:ascii="Calibri" w:eastAsia="Calibri" w:hAnsi="Calibri" w:cs="Times New Roman"/>
                <w:b/>
                <w:noProof/>
                <w:color w:val="3F6C19"/>
                <w:sz w:val="18"/>
                <w:lang w:eastAsia="es-ES"/>
              </w:rPr>
              <mc:AlternateContent>
                <mc:Choice Requires="wps">
                  <w:drawing>
                    <wp:anchor distT="0" distB="0" distL="114300" distR="114300" simplePos="0" relativeHeight="251672576" behindDoc="0" locked="0" layoutInCell="1" allowOverlap="1" wp14:anchorId="18E27E68" wp14:editId="7ED6F42E">
                      <wp:simplePos x="0" y="0"/>
                      <wp:positionH relativeFrom="column">
                        <wp:posOffset>-30480</wp:posOffset>
                      </wp:positionH>
                      <wp:positionV relativeFrom="paragraph">
                        <wp:posOffset>19685</wp:posOffset>
                      </wp:positionV>
                      <wp:extent cx="167640" cy="123190"/>
                      <wp:effectExtent l="0" t="0" r="3810" b="0"/>
                      <wp:wrapNone/>
                      <wp:docPr id="165" name="Triángulo isósceles 165"/>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7FD13B">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60B9" id="Triángulo isósceles 165" o:spid="_x0000_s1026" type="#_x0000_t5" style="position:absolute;margin-left:-2.4pt;margin-top:1.55pt;width:13.2pt;height: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" fillcolor="#3f6d19" stroked="f" strokeweight="2pt"/>
                  </w:pict>
                </mc:Fallback>
              </mc:AlternateContent>
            </w:r>
            <w:r w:rsidRPr="00E251F3">
              <w:rPr>
                <w:rFonts w:ascii="Calibri" w:eastAsia="Calibri" w:hAnsi="Calibri" w:cs="Times New Roman"/>
                <w:b/>
                <w:color w:val="3F6C19"/>
                <w:sz w:val="18"/>
              </w:rPr>
              <w:t>+6,3%</w:t>
            </w:r>
          </w:p>
        </w:tc>
      </w:tr>
      <w:tr w:rsidR="00E251F3" w:rsidRPr="00E251F3" w14:paraId="4A956196" w14:textId="77777777" w:rsidTr="004C6ACD">
        <w:trPr>
          <w:trHeight w:val="204"/>
        </w:trPr>
        <w:tc>
          <w:tcPr>
            <w:tcW w:w="562" w:type="dxa"/>
            <w:vMerge/>
            <w:tcBorders>
              <w:top w:val="nil"/>
              <w:left w:val="nil"/>
              <w:bottom w:val="nil"/>
              <w:right w:val="nil"/>
            </w:tcBorders>
            <w:shd w:val="clear" w:color="auto" w:fill="auto"/>
            <w:vAlign w:val="center"/>
          </w:tcPr>
          <w:p w14:paraId="780FF04C" w14:textId="77777777" w:rsidR="00E251F3" w:rsidRPr="00E251F3" w:rsidRDefault="00E251F3" w:rsidP="00E251F3">
            <w:pPr>
              <w:ind w:left="0"/>
              <w:rPr>
                <w:rFonts w:ascii="Calibri" w:eastAsia="Calibri" w:hAnsi="Calibri" w:cs="Times New Roman"/>
                <w:b/>
                <w:color w:val="5EA226"/>
                <w:sz w:val="18"/>
                <w:highlight w:val="yellow"/>
              </w:rPr>
            </w:pPr>
          </w:p>
        </w:tc>
        <w:tc>
          <w:tcPr>
            <w:tcW w:w="5682" w:type="dxa"/>
            <w:vMerge/>
            <w:tcBorders>
              <w:top w:val="nil"/>
              <w:left w:val="nil"/>
              <w:bottom w:val="nil"/>
              <w:right w:val="nil"/>
            </w:tcBorders>
            <w:shd w:val="clear" w:color="auto" w:fill="auto"/>
            <w:vAlign w:val="center"/>
          </w:tcPr>
          <w:p w14:paraId="16827997" w14:textId="77777777" w:rsidR="00E251F3" w:rsidRPr="00E251F3" w:rsidRDefault="00E251F3" w:rsidP="00E251F3">
            <w:pPr>
              <w:ind w:left="174"/>
              <w:rPr>
                <w:rFonts w:ascii="Calibri" w:eastAsia="Calibri" w:hAnsi="Calibri" w:cs="Times New Roman"/>
                <w:color w:val="262626"/>
                <w:sz w:val="18"/>
                <w:highlight w:val="yellow"/>
              </w:rPr>
            </w:pPr>
          </w:p>
        </w:tc>
        <w:tc>
          <w:tcPr>
            <w:tcW w:w="1843" w:type="dxa"/>
            <w:vMerge/>
            <w:tcBorders>
              <w:top w:val="nil"/>
              <w:left w:val="nil"/>
              <w:bottom w:val="nil"/>
              <w:right w:val="nil"/>
            </w:tcBorders>
            <w:shd w:val="clear" w:color="auto" w:fill="auto"/>
            <w:vAlign w:val="center"/>
          </w:tcPr>
          <w:p w14:paraId="267F5193" w14:textId="77777777" w:rsidR="00E251F3" w:rsidRPr="00E251F3" w:rsidRDefault="00E251F3" w:rsidP="00E251F3">
            <w:pPr>
              <w:ind w:left="0"/>
              <w:rPr>
                <w:rFonts w:ascii="Calibri" w:eastAsia="Calibri" w:hAnsi="Calibri" w:cs="Times New Roman"/>
                <w:color w:val="262626"/>
                <w:sz w:val="18"/>
                <w:highlight w:val="yellow"/>
              </w:rPr>
            </w:pPr>
          </w:p>
        </w:tc>
        <w:tc>
          <w:tcPr>
            <w:tcW w:w="1276" w:type="dxa"/>
            <w:tcBorders>
              <w:top w:val="nil"/>
              <w:left w:val="nil"/>
              <w:bottom w:val="nil"/>
              <w:right w:val="nil"/>
            </w:tcBorders>
            <w:shd w:val="clear" w:color="auto" w:fill="auto"/>
            <w:vAlign w:val="center"/>
          </w:tcPr>
          <w:p w14:paraId="7D694552" w14:textId="77777777" w:rsidR="00E251F3" w:rsidRPr="00E251F3" w:rsidRDefault="00E251F3" w:rsidP="00E251F3">
            <w:pPr>
              <w:ind w:left="0"/>
              <w:jc w:val="right"/>
              <w:rPr>
                <w:rFonts w:ascii="Calibri" w:eastAsia="Calibri" w:hAnsi="Calibri" w:cs="Times New Roman"/>
                <w:b/>
                <w:color w:val="C00000"/>
                <w:sz w:val="18"/>
                <w:highlight w:val="yellow"/>
              </w:rPr>
            </w:pPr>
            <w:r w:rsidRPr="00E251F3">
              <w:rPr>
                <w:rFonts w:ascii="Calibri" w:eastAsia="Calibri" w:hAnsi="Calibri" w:cs="Times New Roman"/>
                <w:b/>
                <w:color w:val="C00000"/>
                <w:sz w:val="18"/>
              </w:rPr>
              <w:t>-0,9%</w:t>
            </w:r>
          </w:p>
        </w:tc>
      </w:tr>
      <w:tr w:rsidR="00E251F3" w:rsidRPr="00E251F3" w14:paraId="58E2713C" w14:textId="77777777" w:rsidTr="004C6ACD">
        <w:trPr>
          <w:trHeight w:val="204"/>
        </w:trPr>
        <w:tc>
          <w:tcPr>
            <w:tcW w:w="562" w:type="dxa"/>
            <w:vMerge/>
            <w:tcBorders>
              <w:top w:val="nil"/>
              <w:left w:val="nil"/>
              <w:bottom w:val="dotted" w:sz="4" w:space="0" w:color="60A527"/>
              <w:right w:val="nil"/>
            </w:tcBorders>
            <w:shd w:val="clear" w:color="auto" w:fill="auto"/>
            <w:vAlign w:val="center"/>
          </w:tcPr>
          <w:p w14:paraId="5FCD88A3" w14:textId="77777777" w:rsidR="00E251F3" w:rsidRPr="00E251F3" w:rsidRDefault="00E251F3" w:rsidP="00E251F3">
            <w:pPr>
              <w:ind w:left="0"/>
              <w:rPr>
                <w:rFonts w:ascii="Calibri" w:eastAsia="Calibri" w:hAnsi="Calibri" w:cs="Times New Roman"/>
                <w:b/>
                <w:color w:val="5EA226"/>
                <w:sz w:val="18"/>
                <w:highlight w:val="yellow"/>
              </w:rPr>
            </w:pPr>
          </w:p>
        </w:tc>
        <w:tc>
          <w:tcPr>
            <w:tcW w:w="5682" w:type="dxa"/>
            <w:vMerge/>
            <w:tcBorders>
              <w:top w:val="nil"/>
              <w:left w:val="nil"/>
              <w:bottom w:val="dotted" w:sz="4" w:space="0" w:color="60A527"/>
              <w:right w:val="nil"/>
            </w:tcBorders>
            <w:shd w:val="clear" w:color="auto" w:fill="auto"/>
            <w:vAlign w:val="center"/>
          </w:tcPr>
          <w:p w14:paraId="6AFFCA8D" w14:textId="77777777" w:rsidR="00E251F3" w:rsidRPr="00E251F3" w:rsidRDefault="00E251F3" w:rsidP="00E251F3">
            <w:pPr>
              <w:ind w:left="174"/>
              <w:rPr>
                <w:rFonts w:ascii="Calibri" w:eastAsia="Calibri" w:hAnsi="Calibri" w:cs="Times New Roman"/>
                <w:color w:val="262626"/>
                <w:sz w:val="18"/>
                <w:highlight w:val="yellow"/>
              </w:rPr>
            </w:pPr>
          </w:p>
        </w:tc>
        <w:tc>
          <w:tcPr>
            <w:tcW w:w="1843" w:type="dxa"/>
            <w:vMerge/>
            <w:tcBorders>
              <w:top w:val="nil"/>
              <w:left w:val="nil"/>
              <w:bottom w:val="dotted" w:sz="4" w:space="0" w:color="60A527"/>
              <w:right w:val="nil"/>
            </w:tcBorders>
            <w:shd w:val="clear" w:color="auto" w:fill="auto"/>
            <w:vAlign w:val="center"/>
          </w:tcPr>
          <w:p w14:paraId="720A6E4B" w14:textId="77777777" w:rsidR="00E251F3" w:rsidRPr="00E251F3" w:rsidRDefault="00E251F3" w:rsidP="00E251F3">
            <w:pPr>
              <w:ind w:left="0"/>
              <w:rPr>
                <w:rFonts w:ascii="Calibri" w:eastAsia="Calibri" w:hAnsi="Calibri" w:cs="Times New Roman"/>
                <w:color w:val="262626"/>
                <w:sz w:val="18"/>
                <w:highlight w:val="yellow"/>
              </w:rPr>
            </w:pPr>
          </w:p>
        </w:tc>
        <w:tc>
          <w:tcPr>
            <w:tcW w:w="1276" w:type="dxa"/>
            <w:tcBorders>
              <w:top w:val="nil"/>
              <w:left w:val="nil"/>
              <w:bottom w:val="dotted" w:sz="4" w:space="0" w:color="60A527"/>
              <w:right w:val="nil"/>
            </w:tcBorders>
            <w:shd w:val="clear" w:color="auto" w:fill="auto"/>
            <w:vAlign w:val="center"/>
          </w:tcPr>
          <w:p w14:paraId="153622D1" w14:textId="77777777" w:rsidR="00E251F3" w:rsidRPr="00E251F3" w:rsidRDefault="00E251F3" w:rsidP="00E251F3">
            <w:pPr>
              <w:ind w:left="0"/>
              <w:jc w:val="right"/>
              <w:rPr>
                <w:rFonts w:ascii="Calibri" w:eastAsia="Calibri" w:hAnsi="Calibri" w:cs="Times New Roman"/>
                <w:color w:val="C00000"/>
                <w:sz w:val="18"/>
                <w:highlight w:val="yellow"/>
              </w:rPr>
            </w:pPr>
            <w:r w:rsidRPr="00E251F3">
              <w:rPr>
                <w:rFonts w:ascii="Calibri" w:eastAsia="Calibri" w:hAnsi="Calibri" w:cs="Times New Roman"/>
                <w:noProof/>
                <w:color w:val="C00000"/>
                <w:sz w:val="18"/>
                <w:lang w:eastAsia="es-ES"/>
              </w:rPr>
              <mc:AlternateContent>
                <mc:Choice Requires="wps">
                  <w:drawing>
                    <wp:anchor distT="0" distB="0" distL="114300" distR="114300" simplePos="0" relativeHeight="251676672" behindDoc="0" locked="0" layoutInCell="1" allowOverlap="1" wp14:anchorId="6C55AE65" wp14:editId="17627D01">
                      <wp:simplePos x="0" y="0"/>
                      <wp:positionH relativeFrom="column">
                        <wp:posOffset>-26670</wp:posOffset>
                      </wp:positionH>
                      <wp:positionV relativeFrom="paragraph">
                        <wp:posOffset>14605</wp:posOffset>
                      </wp:positionV>
                      <wp:extent cx="167640" cy="123190"/>
                      <wp:effectExtent l="0" t="0" r="3810" b="0"/>
                      <wp:wrapNone/>
                      <wp:docPr id="167" name="Triángulo isósceles 167"/>
                      <wp:cNvGraphicFramePr/>
                      <a:graphic xmlns:a="http://schemas.openxmlformats.org/drawingml/2006/main">
                        <a:graphicData uri="http://schemas.microsoft.com/office/word/2010/wordprocessingShape">
                          <wps:wsp>
                            <wps:cNvSpPr/>
                            <wps:spPr>
                              <a:xfrm>
                                <a:off x="0" y="0"/>
                                <a:ext cx="167640" cy="123190"/>
                              </a:xfrm>
                              <a:prstGeom prst="triangl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F3265" id="Triángulo isósceles 167" o:spid="_x0000_s1026" type="#_x0000_t5" style="position:absolute;margin-left:-2.1pt;margin-top:1.15pt;width:13.2pt;height: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" fillcolor="#c00000" stroked="f" strokeweight="2pt"/>
                  </w:pict>
                </mc:Fallback>
              </mc:AlternateContent>
            </w:r>
            <w:r w:rsidRPr="00E251F3">
              <w:rPr>
                <w:rFonts w:ascii="Calibri" w:eastAsia="Calibri" w:hAnsi="Calibri" w:cs="Times New Roman"/>
                <w:b/>
                <w:color w:val="C00000"/>
                <w:sz w:val="18"/>
              </w:rPr>
              <w:t>+11,1%</w:t>
            </w:r>
          </w:p>
        </w:tc>
      </w:tr>
      <w:tr w:rsidR="00E251F3" w:rsidRPr="00E251F3" w14:paraId="73F920DF" w14:textId="77777777" w:rsidTr="00E251F3">
        <w:trPr>
          <w:trHeight w:val="476"/>
        </w:trPr>
        <w:tc>
          <w:tcPr>
            <w:tcW w:w="9363" w:type="dxa"/>
            <w:gridSpan w:val="4"/>
            <w:tcBorders>
              <w:top w:val="dotted" w:sz="4" w:space="0" w:color="60A527"/>
              <w:left w:val="nil"/>
              <w:bottom w:val="nil"/>
              <w:right w:val="nil"/>
            </w:tcBorders>
            <w:shd w:val="clear" w:color="auto" w:fill="3F6C19"/>
            <w:vAlign w:val="center"/>
          </w:tcPr>
          <w:p w14:paraId="021EE550" w14:textId="77777777" w:rsidR="00E251F3" w:rsidRPr="00E251F3" w:rsidRDefault="00E251F3" w:rsidP="00E251F3">
            <w:pPr>
              <w:ind w:left="0"/>
              <w:rPr>
                <w:rFonts w:ascii="Calibri" w:eastAsia="Calibri" w:hAnsi="Calibri" w:cs="Times New Roman"/>
                <w:b/>
                <w:color w:val="FFFFFF"/>
                <w:sz w:val="18"/>
                <w:szCs w:val="20"/>
              </w:rPr>
            </w:pPr>
            <w:r w:rsidRPr="00E251F3">
              <w:rPr>
                <w:rFonts w:ascii="Calibri" w:eastAsia="Calibri" w:hAnsi="Calibri" w:cs="Times New Roman"/>
                <w:b/>
                <w:color w:val="FFFFFF"/>
                <w:sz w:val="18"/>
                <w:szCs w:val="20"/>
              </w:rPr>
              <w:t>* Indicador múltiple; ** Respecto a 2016. Datos no disponibles para 2017; *** Indicador Euskadi en desarrollo; ****Sin actividades de reparación del grupo S 95.</w:t>
            </w:r>
          </w:p>
          <w:p w14:paraId="764FF1B8" w14:textId="77777777" w:rsidR="00E251F3" w:rsidRPr="00E251F3" w:rsidRDefault="00E251F3" w:rsidP="00E251F3">
            <w:pPr>
              <w:ind w:left="0" w:firstLine="41"/>
              <w:rPr>
                <w:rFonts w:ascii="Calibri" w:eastAsia="Calibri" w:hAnsi="Calibri" w:cs="Times New Roman"/>
                <w:b/>
                <w:color w:val="FFFFFF"/>
                <w:sz w:val="18"/>
                <w:szCs w:val="20"/>
              </w:rPr>
            </w:pPr>
            <w:r w:rsidRPr="00E251F3">
              <w:rPr>
                <w:rFonts w:ascii="Calibri" w:eastAsia="Calibri" w:hAnsi="Calibri" w:cs="Times New Roman"/>
                <w:b/>
                <w:color w:val="FFFFFF"/>
                <w:sz w:val="18"/>
                <w:szCs w:val="20"/>
              </w:rPr>
              <w:t>pp = puntos porcentuales</w:t>
            </w:r>
          </w:p>
        </w:tc>
      </w:tr>
    </w:tbl>
    <w:p w14:paraId="459DE64C" w14:textId="4C257D91" w:rsidR="00E13CAA" w:rsidRPr="005C3D91" w:rsidRDefault="005C3D91" w:rsidP="007541A9">
      <w:pPr>
        <w:pStyle w:val="1izenburua"/>
        <w:spacing w:line="240" w:lineRule="auto"/>
        <w:jc w:val="both"/>
        <w:rPr>
          <w:sz w:val="36"/>
        </w:rPr>
      </w:pPr>
      <w:r w:rsidRPr="005C3D91">
        <w:rPr>
          <w:sz w:val="36"/>
        </w:rPr>
        <w:lastRenderedPageBreak/>
        <w:t xml:space="preserve">ANEXO </w:t>
      </w:r>
      <w:r w:rsidR="0090063D">
        <w:rPr>
          <w:sz w:val="36"/>
        </w:rPr>
        <w:t>3</w:t>
      </w:r>
      <w:r w:rsidRPr="005C3D91">
        <w:rPr>
          <w:sz w:val="36"/>
        </w:rPr>
        <w:t xml:space="preserve">. </w:t>
      </w:r>
      <w:r w:rsidR="006811A3" w:rsidRPr="005C3D91">
        <w:rPr>
          <w:sz w:val="36"/>
        </w:rPr>
        <w:t xml:space="preserve">La </w:t>
      </w:r>
      <w:r w:rsidR="0090063D">
        <w:rPr>
          <w:sz w:val="36"/>
        </w:rPr>
        <w:t xml:space="preserve">Economía circular y la </w:t>
      </w:r>
      <w:r w:rsidR="006811A3" w:rsidRPr="005C3D91">
        <w:rPr>
          <w:sz w:val="36"/>
        </w:rPr>
        <w:t>Bioeconomía en Europa</w:t>
      </w:r>
      <w:bookmarkEnd w:id="1"/>
    </w:p>
    <w:p w14:paraId="58459755" w14:textId="77777777" w:rsidR="00E67DA3" w:rsidRDefault="00E67DA3" w:rsidP="007541A9">
      <w:pPr>
        <w:spacing w:line="240" w:lineRule="auto"/>
        <w:jc w:val="both"/>
      </w:pPr>
    </w:p>
    <w:p w14:paraId="2A37A1E6" w14:textId="77777777" w:rsidR="00DF53C6" w:rsidRDefault="00DF53C6" w:rsidP="007541A9">
      <w:pPr>
        <w:spacing w:line="240" w:lineRule="auto"/>
        <w:jc w:val="both"/>
      </w:pPr>
      <w:r>
        <w:t xml:space="preserve">El Pacto Verde Europeo, presentado por la Comisión Von der Leyen el 11 de diciembre de 2019, establece una ambiciosa hoja de ruta hacia una economía circular climáticamente neutra, en la que el crecimiento económico esté disociado del uso de los recursos. Una economía circular reduce la presión sobre los recursos naturales y es una condición previa para alcanzar el objetivo de neutralidad climática para 2050 y atajar la pérdida de biodiversidad. La mitad de las emisiones totales de gases de efecto invernadero y más del 90 % de la pérdida de biodiversidad y el estrés hídrico se deben a la extracción y al tratamiento de los recursos. </w:t>
      </w:r>
    </w:p>
    <w:p w14:paraId="34E19AF7" w14:textId="19E018A9" w:rsidR="00DF53C6" w:rsidRDefault="00DF53C6" w:rsidP="007541A9">
      <w:pPr>
        <w:spacing w:line="240" w:lineRule="auto"/>
        <w:jc w:val="both"/>
      </w:pPr>
      <w:r>
        <w:t>La economía circular arrojará beneficios netos en términos de crecimiento del PIB y creación de empleo, ya que la aplicación de las ambiciosas medidas de la economía circular en Europa podría aumentar el PIB de la UE en un 0,5 % adicional de aquí a 2030 y crear alrededor de 700.000 nuevos puestos de trabajo.</w:t>
      </w:r>
    </w:p>
    <w:p w14:paraId="142121F8" w14:textId="10A87B6F" w:rsidR="006811A3" w:rsidRDefault="00DF53C6" w:rsidP="007541A9">
      <w:pPr>
        <w:spacing w:line="240" w:lineRule="auto"/>
        <w:jc w:val="both"/>
      </w:pPr>
      <w:r>
        <w:t>Por otro lado, l</w:t>
      </w:r>
      <w:r w:rsidR="006811A3">
        <w:t>a</w:t>
      </w:r>
      <w:r w:rsidR="006811A3" w:rsidRPr="002615AD">
        <w:t xml:space="preserve"> bioeconomía </w:t>
      </w:r>
      <w:r w:rsidR="006811A3">
        <w:t xml:space="preserve">en Europa </w:t>
      </w:r>
      <w:r w:rsidR="006811A3" w:rsidRPr="002615AD">
        <w:t xml:space="preserve">supone ya un volumen de negocio anual de 2 billones de euros y representa más de 20 millones de puestos de trabajo; se espera que siga creciendo hasta alcanzar un valor de mercado de 40.000 millones de euros y </w:t>
      </w:r>
      <w:r w:rsidR="006811A3">
        <w:t>que genere 90.000 nuevos empleos en los próximos años.</w:t>
      </w:r>
    </w:p>
    <w:p w14:paraId="5620D0FA" w14:textId="798BD035" w:rsidR="006811A3" w:rsidRPr="00EB7E18" w:rsidRDefault="006811A3" w:rsidP="007541A9">
      <w:pPr>
        <w:spacing w:line="240" w:lineRule="auto"/>
        <w:jc w:val="both"/>
      </w:pPr>
      <w:r>
        <w:t>El impulso importante de la bioeconomía en Europa se dio e</w:t>
      </w:r>
      <w:r w:rsidRPr="00EB7E18">
        <w:t>n 2012,</w:t>
      </w:r>
      <w:r>
        <w:t xml:space="preserve"> cuando</w:t>
      </w:r>
      <w:r w:rsidRPr="00EB7E18">
        <w:t xml:space="preserve"> la Comisión Europea pre</w:t>
      </w:r>
      <w:r w:rsidR="00C15686">
        <w:t>sentó la primera estrategia de b</w:t>
      </w:r>
      <w:r w:rsidRPr="00EB7E18">
        <w:t>ioeconomía lo que desencadenó e</w:t>
      </w:r>
      <w:r>
        <w:t>l desarrollo de estrategias de b</w:t>
      </w:r>
      <w:r w:rsidRPr="00EB7E18">
        <w:t>ioeconomía específicas en los distintos Estados miembros de la UE. El programa Horizont</w:t>
      </w:r>
      <w:r w:rsidR="00375772">
        <w:t>e 2020 (2014-</w:t>
      </w:r>
      <w:r>
        <w:t>2020) proporcionó</w:t>
      </w:r>
      <w:r w:rsidRPr="00EB7E18">
        <w:t xml:space="preserve"> la base para el desarrollo de estrategias nacionales de investigación e innovación en toda Europa. </w:t>
      </w:r>
    </w:p>
    <w:p w14:paraId="43FDF544" w14:textId="11EE1C19" w:rsidR="006811A3" w:rsidRPr="00EB7E18" w:rsidRDefault="006811A3" w:rsidP="007541A9">
      <w:pPr>
        <w:spacing w:line="240" w:lineRule="auto"/>
        <w:jc w:val="both"/>
      </w:pPr>
      <w:r>
        <w:t xml:space="preserve">En 2014, Finlandia publicó una estrategia política dedicada a la </w:t>
      </w:r>
      <w:r w:rsidR="00C91962">
        <w:t>b</w:t>
      </w:r>
      <w:r>
        <w:t xml:space="preserve">ioeconomía, lo que la impulsó a convertirse en una nación líder en bioeconomía en Europa. El panorama político internacional cambió significativamente en 2015 con la adopción de la Agenda 2030 de la ONU y los 17 Objetivos de Desarrollo Sostenible, </w:t>
      </w:r>
      <w:r w:rsidR="008C6951">
        <w:t>dando</w:t>
      </w:r>
      <w:r>
        <w:t xml:space="preserve"> lugar a importantes debates sobre la contribución de la bioeconomía a las economías sostenibles. Desde 2015, se han adoptado 9 estrategias políticas dedicadas a la bioeconomía en Austria, Francia, Irlanda, Italia, Letonia, Noruega, Dinamarca, Finlandia, Islandia, Noruega, Suecia, Dinamarca (Islas Feroe y Groenlandia), España y el Reino Unido. Además, se han actualizado varias estrategias, entre ellas las de la UE, Italia y Alemania, y Finlandia. </w:t>
      </w:r>
    </w:p>
    <w:p w14:paraId="5EF4EBD3" w14:textId="77F86FB2" w:rsidR="006811A3" w:rsidRDefault="006811A3" w:rsidP="007541A9">
      <w:pPr>
        <w:spacing w:line="240" w:lineRule="auto"/>
        <w:jc w:val="both"/>
      </w:pPr>
      <w:r>
        <w:t>Tras la revisión en 2018 de la estrategia por parte de la Comisión Europea, las regiones han adoptado un papel muy importante en su implementación. De este modo varias regiones de la Unión Europea han vinculado el desarrollo de la bioeconomía con sus estrategias RIS3 de investigación e innovación y muchas han desarrollado ya estrategias regionales de bioeconomía, como en España (Extremadura, Andalucía y Castilla León), Noruega (Innladet, Rogaland, Trondelag, Ostfold), Franci</w:t>
      </w:r>
      <w:r w:rsidR="00093385">
        <w:t xml:space="preserve">a (Haute-de-France, Grand Est) </w:t>
      </w:r>
      <w:r>
        <w:t>Alemania (Baden-Wuerttemberg, Baviera) y Bélgica (Flandes).</w:t>
      </w:r>
    </w:p>
    <w:p w14:paraId="51BCC572" w14:textId="1992566E" w:rsidR="00C42EE4" w:rsidRDefault="00C42EE4">
      <w:r>
        <w:br w:type="page"/>
      </w:r>
    </w:p>
    <w:p w14:paraId="22C1E93E" w14:textId="121E63D1" w:rsidR="00DC2E2B" w:rsidRPr="0090063D" w:rsidRDefault="0090063D" w:rsidP="0090063D">
      <w:pPr>
        <w:pStyle w:val="1izenburua"/>
        <w:spacing w:line="240" w:lineRule="auto"/>
        <w:jc w:val="both"/>
        <w:rPr>
          <w:sz w:val="36"/>
        </w:rPr>
      </w:pPr>
      <w:bookmarkStart w:id="2" w:name="_Toc72771495"/>
      <w:r>
        <w:rPr>
          <w:sz w:val="36"/>
        </w:rPr>
        <w:lastRenderedPageBreak/>
        <w:t xml:space="preserve">ANEXO 4. </w:t>
      </w:r>
      <w:r w:rsidR="006811A3" w:rsidRPr="0090063D">
        <w:rPr>
          <w:sz w:val="36"/>
        </w:rPr>
        <w:t xml:space="preserve">Oportunidades </w:t>
      </w:r>
      <w:r w:rsidR="00DC2E2B" w:rsidRPr="0090063D">
        <w:rPr>
          <w:sz w:val="36"/>
        </w:rPr>
        <w:t>derivadas de la bioeconomía</w:t>
      </w:r>
      <w:bookmarkEnd w:id="2"/>
    </w:p>
    <w:p w14:paraId="158227FE" w14:textId="0D5E39F7" w:rsidR="00A9188C" w:rsidRDefault="006811A3"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lang w:eastAsia="en-US"/>
        </w:rPr>
      </w:pPr>
      <w:r w:rsidRPr="3E59E649">
        <w:rPr>
          <w:rFonts w:asciiTheme="minorHAnsi" w:eastAsiaTheme="minorEastAsia" w:hAnsiTheme="minorHAnsi" w:cstheme="minorBidi"/>
          <w:sz w:val="22"/>
          <w:szCs w:val="22"/>
          <w:lang w:eastAsia="en-US"/>
        </w:rPr>
        <w:t>La</w:t>
      </w:r>
      <w:r w:rsidR="00811795" w:rsidRPr="3E59E649">
        <w:rPr>
          <w:rFonts w:asciiTheme="minorHAnsi" w:eastAsiaTheme="minorEastAsia" w:hAnsiTheme="minorHAnsi" w:cstheme="minorBidi"/>
          <w:sz w:val="22"/>
          <w:szCs w:val="22"/>
          <w:lang w:eastAsia="en-US"/>
        </w:rPr>
        <w:t xml:space="preserve"> </w:t>
      </w:r>
      <w:r w:rsidR="002118EC" w:rsidRPr="3E59E649">
        <w:rPr>
          <w:rFonts w:asciiTheme="minorHAnsi" w:eastAsiaTheme="minorEastAsia" w:hAnsiTheme="minorHAnsi" w:cstheme="minorBidi"/>
          <w:sz w:val="22"/>
          <w:szCs w:val="22"/>
          <w:lang w:eastAsia="en-US"/>
        </w:rPr>
        <w:t>b</w:t>
      </w:r>
      <w:r w:rsidR="00811795" w:rsidRPr="3E59E649">
        <w:rPr>
          <w:rFonts w:asciiTheme="minorHAnsi" w:eastAsiaTheme="minorEastAsia" w:hAnsiTheme="minorHAnsi" w:cstheme="minorBidi"/>
          <w:sz w:val="22"/>
          <w:szCs w:val="22"/>
          <w:lang w:eastAsia="en-US"/>
        </w:rPr>
        <w:t xml:space="preserve">ioeconomía </w:t>
      </w:r>
      <w:r w:rsidR="00A9188C" w:rsidRPr="3E59E649">
        <w:rPr>
          <w:rFonts w:asciiTheme="minorHAnsi" w:eastAsiaTheme="minorEastAsia" w:hAnsiTheme="minorHAnsi" w:cstheme="minorBidi"/>
          <w:sz w:val="22"/>
          <w:szCs w:val="22"/>
          <w:lang w:eastAsia="en-US"/>
        </w:rPr>
        <w:t xml:space="preserve">nos brinda la oportunidad única </w:t>
      </w:r>
      <w:r w:rsidR="00C07DF1" w:rsidRPr="3E59E649">
        <w:rPr>
          <w:rFonts w:asciiTheme="minorHAnsi" w:eastAsiaTheme="minorEastAsia" w:hAnsiTheme="minorHAnsi" w:cstheme="minorBidi"/>
          <w:sz w:val="22"/>
          <w:szCs w:val="22"/>
          <w:lang w:eastAsia="en-US"/>
        </w:rPr>
        <w:t>de transformar el actual modelo económico hacia un modelo que vuelva a</w:t>
      </w:r>
      <w:r w:rsidR="00A9188C" w:rsidRPr="3E59E649">
        <w:rPr>
          <w:rFonts w:asciiTheme="minorHAnsi" w:eastAsiaTheme="minorEastAsia" w:hAnsiTheme="minorHAnsi" w:cstheme="minorBidi"/>
          <w:sz w:val="22"/>
          <w:szCs w:val="22"/>
          <w:lang w:eastAsia="en-US"/>
        </w:rPr>
        <w:t xml:space="preserve"> reconectar </w:t>
      </w:r>
      <w:r w:rsidR="00C07DF1" w:rsidRPr="3E59E649">
        <w:rPr>
          <w:rFonts w:asciiTheme="minorHAnsi" w:eastAsiaTheme="minorEastAsia" w:hAnsiTheme="minorHAnsi" w:cstheme="minorBidi"/>
          <w:b/>
          <w:bCs/>
          <w:sz w:val="22"/>
          <w:szCs w:val="22"/>
          <w:lang w:eastAsia="en-US"/>
        </w:rPr>
        <w:t xml:space="preserve">la </w:t>
      </w:r>
      <w:r w:rsidR="00A9188C" w:rsidRPr="3E59E649">
        <w:rPr>
          <w:rFonts w:asciiTheme="minorHAnsi" w:eastAsiaTheme="minorEastAsia" w:hAnsiTheme="minorHAnsi" w:cstheme="minorBidi"/>
          <w:b/>
          <w:bCs/>
          <w:sz w:val="22"/>
          <w:szCs w:val="22"/>
          <w:lang w:eastAsia="en-US"/>
        </w:rPr>
        <w:t xml:space="preserve">Economía, </w:t>
      </w:r>
      <w:r w:rsidR="00C07DF1" w:rsidRPr="3E59E649">
        <w:rPr>
          <w:rFonts w:asciiTheme="minorHAnsi" w:eastAsiaTheme="minorEastAsia" w:hAnsiTheme="minorHAnsi" w:cstheme="minorBidi"/>
          <w:b/>
          <w:bCs/>
          <w:sz w:val="22"/>
          <w:szCs w:val="22"/>
          <w:lang w:eastAsia="en-US"/>
        </w:rPr>
        <w:t xml:space="preserve">la </w:t>
      </w:r>
      <w:r w:rsidR="00A9188C" w:rsidRPr="3E59E649">
        <w:rPr>
          <w:rFonts w:asciiTheme="minorHAnsi" w:eastAsiaTheme="minorEastAsia" w:hAnsiTheme="minorHAnsi" w:cstheme="minorBidi"/>
          <w:b/>
          <w:bCs/>
          <w:sz w:val="22"/>
          <w:szCs w:val="22"/>
          <w:lang w:eastAsia="en-US"/>
        </w:rPr>
        <w:t xml:space="preserve">Sociedad y </w:t>
      </w:r>
      <w:r w:rsidR="00C07DF1" w:rsidRPr="3E59E649">
        <w:rPr>
          <w:rFonts w:asciiTheme="minorHAnsi" w:eastAsiaTheme="minorEastAsia" w:hAnsiTheme="minorHAnsi" w:cstheme="minorBidi"/>
          <w:b/>
          <w:bCs/>
          <w:sz w:val="22"/>
          <w:szCs w:val="22"/>
          <w:lang w:eastAsia="en-US"/>
        </w:rPr>
        <w:t xml:space="preserve">el </w:t>
      </w:r>
      <w:r w:rsidR="00811795" w:rsidRPr="3E59E649">
        <w:rPr>
          <w:rFonts w:asciiTheme="minorHAnsi" w:eastAsiaTheme="minorEastAsia" w:hAnsiTheme="minorHAnsi" w:cstheme="minorBidi"/>
          <w:b/>
          <w:bCs/>
          <w:sz w:val="22"/>
          <w:szCs w:val="22"/>
          <w:lang w:eastAsia="en-US"/>
        </w:rPr>
        <w:t>Medio Ambiente</w:t>
      </w:r>
      <w:r w:rsidR="00811795" w:rsidRPr="3E59E649">
        <w:rPr>
          <w:rFonts w:asciiTheme="minorHAnsi" w:eastAsiaTheme="minorEastAsia" w:hAnsiTheme="minorHAnsi" w:cstheme="minorBidi"/>
          <w:sz w:val="22"/>
          <w:szCs w:val="22"/>
          <w:lang w:eastAsia="en-US"/>
        </w:rPr>
        <w:t xml:space="preserve">. La </w:t>
      </w:r>
      <w:r w:rsidR="002118EC" w:rsidRPr="3E59E649">
        <w:rPr>
          <w:rFonts w:asciiTheme="minorHAnsi" w:eastAsiaTheme="minorEastAsia" w:hAnsiTheme="minorHAnsi" w:cstheme="minorBidi"/>
          <w:sz w:val="22"/>
          <w:szCs w:val="22"/>
          <w:lang w:eastAsia="en-US"/>
        </w:rPr>
        <w:t xml:space="preserve">bioeconomía </w:t>
      </w:r>
      <w:r w:rsidR="00A9188C" w:rsidRPr="3E59E649">
        <w:rPr>
          <w:rFonts w:asciiTheme="minorHAnsi" w:eastAsiaTheme="minorEastAsia" w:hAnsiTheme="minorHAnsi" w:cstheme="minorBidi"/>
          <w:sz w:val="22"/>
          <w:szCs w:val="22"/>
          <w:lang w:eastAsia="en-US"/>
        </w:rPr>
        <w:t>comprende aquellos sectores de la economía que emplean recursos biológicos renovables de la tierra y el mar -como cultivos, bosques, animales y microorganismos- para producir</w:t>
      </w:r>
      <w:r w:rsidR="00FC040A" w:rsidRPr="3E59E649">
        <w:rPr>
          <w:rFonts w:asciiTheme="minorHAnsi" w:eastAsiaTheme="minorEastAsia" w:hAnsiTheme="minorHAnsi" w:cstheme="minorBidi"/>
          <w:sz w:val="22"/>
          <w:szCs w:val="22"/>
          <w:lang w:eastAsia="en-US"/>
        </w:rPr>
        <w:t xml:space="preserve"> alimentos, materiales y energía</w:t>
      </w:r>
      <w:r w:rsidR="00A9188C" w:rsidRPr="3E59E649">
        <w:rPr>
          <w:rFonts w:asciiTheme="minorHAnsi" w:eastAsiaTheme="minorEastAsia" w:hAnsiTheme="minorHAnsi" w:cstheme="minorBidi"/>
          <w:sz w:val="22"/>
          <w:szCs w:val="22"/>
          <w:lang w:eastAsia="en-US"/>
        </w:rPr>
        <w:t xml:space="preserve">. Es uno de los modelos alternativos para lograr la transición ecológica, combinando la gestión sostenible de los recursos naturales con nuevas soluciones tecnológicas para crear una nueva generación de productos que reemplacen lo que hoy producimos con petróleo. Además de presentarse como una necesidad ante la insostenibilidad del modelo actual, constituye una oportunidad para crear valor económico, social y ambiental mediante la combinación de la ecología, la economía y la innovación. </w:t>
      </w:r>
    </w:p>
    <w:p w14:paraId="50AA7DB6" w14:textId="36E8D93C" w:rsidR="00CA3EC5" w:rsidRPr="00C81500" w:rsidRDefault="00C81500" w:rsidP="3E59E649">
      <w:pPr>
        <w:pStyle w:val="Normalaweb"/>
        <w:shd w:val="clear" w:color="auto" w:fill="FFFFFF" w:themeFill="background1"/>
        <w:spacing w:before="120" w:beforeAutospacing="0" w:after="240" w:afterAutospacing="0"/>
        <w:jc w:val="both"/>
        <w:textAlignment w:val="baseline"/>
        <w:rPr>
          <w:rFonts w:asciiTheme="minorHAnsi" w:eastAsiaTheme="minorEastAsia" w:hAnsiTheme="minorHAnsi" w:cstheme="minorBidi"/>
          <w:sz w:val="22"/>
          <w:szCs w:val="22"/>
          <w:lang w:eastAsia="en-US"/>
        </w:rPr>
      </w:pPr>
      <w:r w:rsidRPr="3E59E649">
        <w:rPr>
          <w:rFonts w:asciiTheme="minorHAnsi" w:hAnsiTheme="minorHAnsi" w:cstheme="minorBidi"/>
        </w:rPr>
        <w:t>Además</w:t>
      </w:r>
      <w:r w:rsidRPr="00C81500">
        <w:t>,</w:t>
      </w:r>
      <w:r w:rsidRPr="3E59E649">
        <w:rPr>
          <w:rFonts w:asciiTheme="minorHAnsi" w:eastAsiaTheme="minorEastAsia" w:hAnsiTheme="minorHAnsi" w:cstheme="minorBidi"/>
          <w:sz w:val="22"/>
          <w:szCs w:val="22"/>
          <w:lang w:eastAsia="en-US"/>
        </w:rPr>
        <w:t xml:space="preserve"> l</w:t>
      </w:r>
      <w:r w:rsidR="00B30879" w:rsidRPr="3E59E649">
        <w:rPr>
          <w:rFonts w:asciiTheme="minorHAnsi" w:eastAsiaTheme="minorEastAsia" w:hAnsiTheme="minorHAnsi" w:cstheme="minorBidi"/>
          <w:sz w:val="22"/>
          <w:szCs w:val="22"/>
          <w:lang w:eastAsia="en-US"/>
        </w:rPr>
        <w:t>os agentes</w:t>
      </w:r>
      <w:r w:rsidR="002118EC" w:rsidRPr="3E59E649">
        <w:rPr>
          <w:rFonts w:asciiTheme="minorHAnsi" w:eastAsiaTheme="minorEastAsia" w:hAnsiTheme="minorHAnsi" w:cstheme="minorBidi"/>
          <w:sz w:val="22"/>
          <w:szCs w:val="22"/>
          <w:lang w:eastAsia="en-US"/>
        </w:rPr>
        <w:t xml:space="preserve"> de la Red Vasca de Ciencia y Tecnología </w:t>
      </w:r>
      <w:r w:rsidR="006811A3" w:rsidRPr="3E59E649">
        <w:rPr>
          <w:rFonts w:asciiTheme="minorHAnsi" w:eastAsiaTheme="minorEastAsia" w:hAnsiTheme="minorHAnsi" w:cstheme="minorBidi"/>
          <w:sz w:val="22"/>
          <w:szCs w:val="22"/>
          <w:lang w:eastAsia="en-US"/>
        </w:rPr>
        <w:t>llevan</w:t>
      </w:r>
      <w:r w:rsidR="002118EC" w:rsidRPr="3E59E649">
        <w:rPr>
          <w:rFonts w:asciiTheme="minorHAnsi" w:eastAsiaTheme="minorEastAsia" w:hAnsiTheme="minorHAnsi" w:cstheme="minorBidi"/>
          <w:sz w:val="22"/>
          <w:szCs w:val="22"/>
          <w:lang w:eastAsia="en-US"/>
        </w:rPr>
        <w:t xml:space="preserve"> </w:t>
      </w:r>
      <w:r w:rsidR="00CA3EC5" w:rsidRPr="3E59E649">
        <w:rPr>
          <w:rFonts w:asciiTheme="minorHAnsi" w:eastAsiaTheme="minorEastAsia" w:hAnsiTheme="minorHAnsi" w:cstheme="minorBidi"/>
          <w:sz w:val="22"/>
          <w:szCs w:val="22"/>
          <w:lang w:eastAsia="en-US"/>
        </w:rPr>
        <w:t>tiempo investigando e innovando en materia de bioeconomía</w:t>
      </w:r>
      <w:r w:rsidR="00254419" w:rsidRPr="3E59E649">
        <w:rPr>
          <w:rFonts w:asciiTheme="minorHAnsi" w:eastAsiaTheme="minorEastAsia" w:hAnsiTheme="minorHAnsi" w:cstheme="minorBidi"/>
          <w:sz w:val="22"/>
          <w:szCs w:val="22"/>
          <w:lang w:eastAsia="en-US"/>
        </w:rPr>
        <w:t xml:space="preserve"> (</w:t>
      </w:r>
      <w:r w:rsidR="00254419" w:rsidRPr="3E59E649">
        <w:rPr>
          <w:rFonts w:asciiTheme="minorHAnsi" w:eastAsiaTheme="minorEastAsia" w:hAnsiTheme="minorHAnsi" w:cstheme="minorBidi"/>
          <w:sz w:val="22"/>
          <w:szCs w:val="22"/>
          <w:lang w:eastAsia="en-US"/>
        </w:rPr>
        <w:fldChar w:fldCharType="begin"/>
      </w:r>
      <w:r w:rsidR="00254419" w:rsidRPr="3E59E649">
        <w:rPr>
          <w:rFonts w:asciiTheme="minorHAnsi" w:eastAsiaTheme="minorEastAsia" w:hAnsiTheme="minorHAnsi" w:cstheme="minorBidi"/>
          <w:sz w:val="22"/>
          <w:szCs w:val="22"/>
          <w:lang w:eastAsia="en-US"/>
        </w:rPr>
        <w:instrText xml:space="preserve"> REF _Ref72600818 \h  \* MERGEFORMAT </w:instrText>
      </w:r>
      <w:r w:rsidR="00254419" w:rsidRPr="3E59E649">
        <w:rPr>
          <w:rFonts w:asciiTheme="minorHAnsi" w:eastAsiaTheme="minorEastAsia" w:hAnsiTheme="minorHAnsi" w:cstheme="minorBidi"/>
          <w:sz w:val="22"/>
          <w:szCs w:val="22"/>
          <w:lang w:eastAsia="en-US"/>
        </w:rPr>
      </w:r>
      <w:r w:rsidR="00254419" w:rsidRPr="3E59E649">
        <w:rPr>
          <w:rFonts w:asciiTheme="minorHAnsi" w:eastAsiaTheme="minorEastAsia" w:hAnsiTheme="minorHAnsi" w:cstheme="minorBidi"/>
          <w:sz w:val="22"/>
          <w:szCs w:val="22"/>
          <w:lang w:eastAsia="en-US"/>
        </w:rPr>
        <w:fldChar w:fldCharType="separate"/>
      </w:r>
      <w:r w:rsidR="006C0251" w:rsidRPr="006C0251">
        <w:rPr>
          <w:rFonts w:asciiTheme="minorHAnsi" w:eastAsiaTheme="minorEastAsia" w:hAnsiTheme="minorHAnsi" w:cstheme="minorBidi"/>
          <w:sz w:val="22"/>
          <w:szCs w:val="22"/>
          <w:lang w:eastAsia="en-US"/>
        </w:rPr>
        <w:t>Figura 1</w:t>
      </w:r>
      <w:r w:rsidR="00254419" w:rsidRPr="3E59E649">
        <w:rPr>
          <w:rFonts w:asciiTheme="minorHAnsi" w:eastAsiaTheme="minorEastAsia" w:hAnsiTheme="minorHAnsi" w:cstheme="minorBidi"/>
          <w:sz w:val="22"/>
          <w:szCs w:val="22"/>
          <w:lang w:eastAsia="en-US"/>
        </w:rPr>
        <w:fldChar w:fldCharType="end"/>
      </w:r>
      <w:r w:rsidR="00254419" w:rsidRPr="3E59E649">
        <w:rPr>
          <w:rFonts w:asciiTheme="minorHAnsi" w:eastAsiaTheme="minorEastAsia" w:hAnsiTheme="minorHAnsi" w:cstheme="minorBidi"/>
          <w:sz w:val="22"/>
          <w:szCs w:val="22"/>
          <w:lang w:eastAsia="en-US"/>
        </w:rPr>
        <w:t>)</w:t>
      </w:r>
      <w:r w:rsidR="00CA3EC5" w:rsidRPr="3E59E649">
        <w:rPr>
          <w:rFonts w:asciiTheme="minorHAnsi" w:eastAsiaTheme="minorEastAsia" w:hAnsiTheme="minorHAnsi" w:cstheme="minorBidi"/>
          <w:sz w:val="22"/>
          <w:szCs w:val="22"/>
          <w:lang w:eastAsia="en-US"/>
        </w:rPr>
        <w:t xml:space="preserve">, lo que permitirá en un futuro cercano que los casos de éxito se transfieran a las empresas para que </w:t>
      </w:r>
      <w:r w:rsidR="0051536B" w:rsidRPr="3E59E649">
        <w:rPr>
          <w:rFonts w:asciiTheme="minorHAnsi" w:eastAsiaTheme="minorEastAsia" w:hAnsiTheme="minorHAnsi" w:cstheme="minorBidi"/>
          <w:sz w:val="22"/>
          <w:szCs w:val="22"/>
          <w:lang w:eastAsia="en-US"/>
        </w:rPr>
        <w:t xml:space="preserve">éstas </w:t>
      </w:r>
      <w:r w:rsidR="00CA3EC5" w:rsidRPr="3E59E649">
        <w:rPr>
          <w:rFonts w:asciiTheme="minorHAnsi" w:eastAsiaTheme="minorEastAsia" w:hAnsiTheme="minorHAnsi" w:cstheme="minorBidi"/>
          <w:sz w:val="22"/>
          <w:szCs w:val="22"/>
          <w:lang w:eastAsia="en-US"/>
        </w:rPr>
        <w:t>sean punteras</w:t>
      </w:r>
      <w:r w:rsidR="002118EC" w:rsidRPr="3E59E649">
        <w:rPr>
          <w:rFonts w:asciiTheme="minorHAnsi" w:eastAsiaTheme="minorEastAsia" w:hAnsiTheme="minorHAnsi" w:cstheme="minorBidi"/>
          <w:sz w:val="22"/>
          <w:szCs w:val="22"/>
          <w:lang w:eastAsia="en-US"/>
        </w:rPr>
        <w:t>.</w:t>
      </w:r>
      <w:r w:rsidR="00CA3EC5" w:rsidRPr="3E59E649">
        <w:rPr>
          <w:rFonts w:asciiTheme="minorHAnsi" w:eastAsiaTheme="minorEastAsia" w:hAnsiTheme="minorHAnsi" w:cstheme="minorBidi"/>
          <w:sz w:val="22"/>
          <w:szCs w:val="22"/>
          <w:lang w:eastAsia="en-US"/>
        </w:rPr>
        <w:t xml:space="preserve"> </w:t>
      </w:r>
    </w:p>
    <w:p w14:paraId="3FAB3F07" w14:textId="112CBD57" w:rsidR="002038E0" w:rsidRDefault="0018193E"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lang w:eastAsia="en-US"/>
        </w:rPr>
      </w:pPr>
      <w:r>
        <w:rPr>
          <w:noProof/>
        </w:rPr>
        <w:drawing>
          <wp:inline distT="0" distB="0" distL="0" distR="0" wp14:anchorId="51C1C470" wp14:editId="6B79F5B6">
            <wp:extent cx="5052060" cy="32567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2060" cy="3256797"/>
                    </a:xfrm>
                    <a:prstGeom prst="rect">
                      <a:avLst/>
                    </a:prstGeom>
                  </pic:spPr>
                </pic:pic>
              </a:graphicData>
            </a:graphic>
          </wp:inline>
        </w:drawing>
      </w:r>
    </w:p>
    <w:p w14:paraId="4A5B6F55" w14:textId="186271C0" w:rsidR="0051536B" w:rsidRDefault="0018193E"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lang w:eastAsia="en-US"/>
        </w:rPr>
      </w:pPr>
      <w:r>
        <w:rPr>
          <w:noProof/>
        </w:rPr>
        <w:lastRenderedPageBreak/>
        <w:drawing>
          <wp:inline distT="0" distB="0" distL="0" distR="0" wp14:anchorId="3DAD53EB" wp14:editId="64C94532">
            <wp:extent cx="5295898" cy="3230677"/>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5898" cy="3230677"/>
                    </a:xfrm>
                    <a:prstGeom prst="rect">
                      <a:avLst/>
                    </a:prstGeom>
                  </pic:spPr>
                </pic:pic>
              </a:graphicData>
            </a:graphic>
          </wp:inline>
        </w:drawing>
      </w:r>
    </w:p>
    <w:p w14:paraId="1870EAF4" w14:textId="57949CF7" w:rsidR="0051536B" w:rsidRDefault="0051536B"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lang w:eastAsia="en-US"/>
        </w:rPr>
      </w:pPr>
      <w:r>
        <w:rPr>
          <w:noProof/>
        </w:rPr>
        <w:drawing>
          <wp:inline distT="0" distB="0" distL="0" distR="0" wp14:anchorId="7084128A" wp14:editId="3DCDF2E7">
            <wp:extent cx="5486378" cy="3305175"/>
            <wp:effectExtent l="0" t="0" r="635" b="0"/>
            <wp:docPr id="4108" name="Imagen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08"/>
                    <pic:cNvPicPr/>
                  </pic:nvPicPr>
                  <pic:blipFill>
                    <a:blip r:embed="rId20">
                      <a:extLst>
                        <a:ext uri="{28A0092B-C50C-407E-A947-70E740481C1C}">
                          <a14:useLocalDpi xmlns:a14="http://schemas.microsoft.com/office/drawing/2010/main" val="0"/>
                        </a:ext>
                      </a:extLst>
                    </a:blip>
                    <a:stretch>
                      <a:fillRect/>
                    </a:stretch>
                  </pic:blipFill>
                  <pic:spPr>
                    <a:xfrm>
                      <a:off x="0" y="0"/>
                      <a:ext cx="5486378" cy="3305175"/>
                    </a:xfrm>
                    <a:prstGeom prst="rect">
                      <a:avLst/>
                    </a:prstGeom>
                  </pic:spPr>
                </pic:pic>
              </a:graphicData>
            </a:graphic>
          </wp:inline>
        </w:drawing>
      </w:r>
    </w:p>
    <w:p w14:paraId="23011620" w14:textId="4217ADDF" w:rsidR="00254419" w:rsidRDefault="00254419" w:rsidP="007541A9">
      <w:pPr>
        <w:pStyle w:val="Epigrafea"/>
        <w:rPr>
          <w:rFonts w:asciiTheme="minorHAnsi" w:hAnsiTheme="minorHAnsi"/>
          <w:sz w:val="22"/>
          <w:szCs w:val="22"/>
        </w:rPr>
      </w:pPr>
      <w:bookmarkStart w:id="3" w:name="_Ref72600818"/>
      <w:bookmarkStart w:id="4" w:name="_Toc72771619"/>
      <w:r>
        <w:t xml:space="preserve">Figura </w:t>
      </w:r>
      <w:r w:rsidR="000606DB">
        <w:rPr>
          <w:noProof/>
        </w:rPr>
        <w:fldChar w:fldCharType="begin"/>
      </w:r>
      <w:r w:rsidR="000606DB">
        <w:rPr>
          <w:noProof/>
        </w:rPr>
        <w:instrText xml:space="preserve"> SEQ Figura \* ARABIC </w:instrText>
      </w:r>
      <w:r w:rsidR="000606DB">
        <w:rPr>
          <w:noProof/>
        </w:rPr>
        <w:fldChar w:fldCharType="separate"/>
      </w:r>
      <w:r w:rsidR="006C0251">
        <w:rPr>
          <w:noProof/>
        </w:rPr>
        <w:t>1</w:t>
      </w:r>
      <w:r w:rsidR="000606DB">
        <w:rPr>
          <w:noProof/>
        </w:rPr>
        <w:fldChar w:fldCharType="end"/>
      </w:r>
      <w:bookmarkEnd w:id="3"/>
      <w:r>
        <w:t>. Algunos de los casos de investigación en bioeconomía de los centros tecnológicos de Euskadi.</w:t>
      </w:r>
      <w:bookmarkEnd w:id="4"/>
    </w:p>
    <w:p w14:paraId="0F2A6CA3" w14:textId="28EE07C9" w:rsidR="00254419" w:rsidRPr="00254419" w:rsidRDefault="005B4F41" w:rsidP="007541A9">
      <w:pPr>
        <w:pStyle w:val="Normalaweb"/>
        <w:shd w:val="clear" w:color="auto" w:fill="FFFFFF"/>
        <w:spacing w:before="120" w:after="24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Es </w:t>
      </w:r>
      <w:r w:rsidR="00254419" w:rsidRPr="00254419">
        <w:rPr>
          <w:rFonts w:asciiTheme="minorHAnsi" w:eastAsiaTheme="minorHAnsi" w:hAnsiTheme="minorHAnsi" w:cstheme="minorBidi"/>
          <w:sz w:val="22"/>
          <w:szCs w:val="22"/>
          <w:lang w:eastAsia="en-US"/>
        </w:rPr>
        <w:t xml:space="preserve">importante considerar que en Euskadi la biomasa forestal tiene un gran potencial para </w:t>
      </w:r>
      <w:r w:rsidR="00FC040A">
        <w:rPr>
          <w:rFonts w:asciiTheme="minorHAnsi" w:eastAsiaTheme="minorHAnsi" w:hAnsiTheme="minorHAnsi" w:cstheme="minorBidi"/>
          <w:sz w:val="22"/>
          <w:szCs w:val="22"/>
          <w:lang w:eastAsia="en-US"/>
        </w:rPr>
        <w:t>el desarrollo de la</w:t>
      </w:r>
      <w:r w:rsidR="00254419" w:rsidRPr="00254419">
        <w:rPr>
          <w:rFonts w:asciiTheme="minorHAnsi" w:eastAsiaTheme="minorHAnsi" w:hAnsiTheme="minorHAnsi" w:cstheme="minorBidi"/>
          <w:sz w:val="22"/>
          <w:szCs w:val="22"/>
          <w:lang w:eastAsia="en-US"/>
        </w:rPr>
        <w:t xml:space="preserve"> bioeconomía por la disponibilidad de este recurso y porque </w:t>
      </w:r>
      <w:r w:rsidR="00DC2E44" w:rsidRPr="00254419">
        <w:rPr>
          <w:rFonts w:asciiTheme="minorHAnsi" w:eastAsiaTheme="minorHAnsi" w:hAnsiTheme="minorHAnsi" w:cstheme="minorBidi"/>
          <w:sz w:val="22"/>
          <w:szCs w:val="22"/>
          <w:lang w:eastAsia="en-US"/>
        </w:rPr>
        <w:t>hoy</w:t>
      </w:r>
      <w:r w:rsidR="00254419" w:rsidRPr="00254419">
        <w:rPr>
          <w:rFonts w:asciiTheme="minorHAnsi" w:eastAsiaTheme="minorHAnsi" w:hAnsiTheme="minorHAnsi" w:cstheme="minorBidi"/>
          <w:sz w:val="22"/>
          <w:szCs w:val="22"/>
          <w:lang w:eastAsia="en-US"/>
        </w:rPr>
        <w:t xml:space="preserve"> no se aprovecha de forma íntegra esta fuente de biomasa. Se necesitan nuevos planteamientos y tecnologías relacionadas con la cadena de valor de la madera y su transformación, más eficientes y bajo el concepto de </w:t>
      </w:r>
      <w:r w:rsidR="00DC2E44" w:rsidRPr="00254419">
        <w:rPr>
          <w:rFonts w:asciiTheme="minorHAnsi" w:eastAsiaTheme="minorHAnsi" w:hAnsiTheme="minorHAnsi" w:cstheme="minorBidi"/>
          <w:sz w:val="22"/>
          <w:szCs w:val="22"/>
          <w:lang w:eastAsia="en-US"/>
        </w:rPr>
        <w:t>biorrefinería</w:t>
      </w:r>
      <w:r w:rsidR="00254419" w:rsidRPr="00254419">
        <w:rPr>
          <w:rFonts w:asciiTheme="minorHAnsi" w:eastAsiaTheme="minorHAnsi" w:hAnsiTheme="minorHAnsi" w:cstheme="minorBidi"/>
          <w:sz w:val="22"/>
          <w:szCs w:val="22"/>
          <w:lang w:eastAsia="en-US"/>
        </w:rPr>
        <w:t>, maximizando el rendimiento, el uso, el aprovechamiento y la generación de valor</w:t>
      </w:r>
      <w:r>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 REF _Ref72601502 \h  \* MERGEFORMAT </w:instrText>
      </w:r>
      <w:r>
        <w:rPr>
          <w:rFonts w:asciiTheme="minorHAnsi" w:eastAsiaTheme="minorHAnsi" w:hAnsiTheme="minorHAnsi" w:cstheme="minorBidi"/>
          <w:sz w:val="22"/>
          <w:szCs w:val="22"/>
          <w:lang w:eastAsia="en-US"/>
        </w:rPr>
      </w:r>
      <w:r>
        <w:rPr>
          <w:rFonts w:asciiTheme="minorHAnsi" w:eastAsiaTheme="minorHAnsi" w:hAnsiTheme="minorHAnsi" w:cstheme="minorBidi"/>
          <w:sz w:val="22"/>
          <w:szCs w:val="22"/>
          <w:lang w:eastAsia="en-US"/>
        </w:rPr>
        <w:fldChar w:fldCharType="separate"/>
      </w:r>
      <w:r w:rsidR="006C0251" w:rsidRPr="006C0251">
        <w:rPr>
          <w:rFonts w:asciiTheme="minorHAnsi" w:eastAsiaTheme="minorHAnsi" w:hAnsiTheme="minorHAnsi" w:cstheme="minorBidi"/>
          <w:sz w:val="22"/>
          <w:szCs w:val="22"/>
          <w:lang w:eastAsia="en-US"/>
        </w:rPr>
        <w:t>Figura 2</w:t>
      </w:r>
      <w:r>
        <w:rPr>
          <w:rFonts w:asciiTheme="minorHAnsi" w:eastAsiaTheme="minorHAnsi" w:hAnsiTheme="minorHAnsi" w:cstheme="minorBidi"/>
          <w:sz w:val="22"/>
          <w:szCs w:val="22"/>
          <w:lang w:eastAsia="en-US"/>
        </w:rPr>
        <w:fldChar w:fldCharType="end"/>
      </w:r>
      <w:r>
        <w:rPr>
          <w:rFonts w:asciiTheme="minorHAnsi" w:eastAsiaTheme="minorHAnsi" w:hAnsiTheme="minorHAnsi" w:cstheme="minorBidi"/>
          <w:sz w:val="22"/>
          <w:szCs w:val="22"/>
          <w:lang w:eastAsia="en-US"/>
        </w:rPr>
        <w:t>)</w:t>
      </w:r>
      <w:r w:rsidR="00254419" w:rsidRPr="00254419">
        <w:rPr>
          <w:rFonts w:asciiTheme="minorHAnsi" w:eastAsiaTheme="minorHAnsi" w:hAnsiTheme="minorHAnsi" w:cstheme="minorBidi"/>
          <w:sz w:val="22"/>
          <w:szCs w:val="22"/>
          <w:lang w:eastAsia="en-US"/>
        </w:rPr>
        <w:t xml:space="preserve">. </w:t>
      </w:r>
    </w:p>
    <w:p w14:paraId="16E553DA" w14:textId="06E773B2" w:rsidR="00254419" w:rsidRDefault="005B4F41" w:rsidP="007541A9">
      <w:pPr>
        <w:pStyle w:val="Normalaweb"/>
        <w:shd w:val="clear" w:color="auto" w:fill="FFFFFF"/>
        <w:spacing w:before="120" w:after="240"/>
        <w:jc w:val="both"/>
        <w:textAlignment w:val="baseline"/>
        <w:rPr>
          <w:rFonts w:eastAsiaTheme="minorEastAsia"/>
          <w:lang w:val="es-ES_tradnl"/>
        </w:rPr>
      </w:pPr>
      <w:r>
        <w:rPr>
          <w:rFonts w:eastAsiaTheme="minorEastAsia"/>
          <w:noProof/>
        </w:rPr>
        <w:lastRenderedPageBreak/>
        <w:drawing>
          <wp:inline distT="0" distB="0" distL="0" distR="0" wp14:anchorId="784E2411" wp14:editId="41367811">
            <wp:extent cx="5400040" cy="3611880"/>
            <wp:effectExtent l="0" t="0" r="0" b="7620"/>
            <wp:docPr id="41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AL.jpg"/>
                    <pic:cNvPicPr/>
                  </pic:nvPicPr>
                  <pic:blipFill rotWithShape="1">
                    <a:blip r:embed="rId21">
                      <a:extLst>
                        <a:ext uri="{28A0092B-C50C-407E-A947-70E740481C1C}">
                          <a14:useLocalDpi xmlns:a14="http://schemas.microsoft.com/office/drawing/2010/main" val="0"/>
                        </a:ext>
                      </a:extLst>
                    </a:blip>
                    <a:srcRect t="10818"/>
                    <a:stretch/>
                  </pic:blipFill>
                  <pic:spPr bwMode="auto">
                    <a:xfrm>
                      <a:off x="0" y="0"/>
                      <a:ext cx="5400040" cy="3611880"/>
                    </a:xfrm>
                    <a:prstGeom prst="rect">
                      <a:avLst/>
                    </a:prstGeom>
                    <a:ln>
                      <a:noFill/>
                    </a:ln>
                    <a:extLst>
                      <a:ext uri="{53640926-AAD7-44D8-BBD7-CCE9431645EC}">
                        <a14:shadowObscured xmlns:a14="http://schemas.microsoft.com/office/drawing/2010/main"/>
                      </a:ext>
                    </a:extLst>
                  </pic:spPr>
                </pic:pic>
              </a:graphicData>
            </a:graphic>
          </wp:inline>
        </w:drawing>
      </w:r>
    </w:p>
    <w:p w14:paraId="31C9064A" w14:textId="53CDF87E" w:rsidR="005B4F41" w:rsidRDefault="005B4F41" w:rsidP="007541A9">
      <w:pPr>
        <w:pStyle w:val="Epigrafea"/>
        <w:rPr>
          <w:rFonts w:eastAsiaTheme="minorEastAsia"/>
          <w:lang w:val="es-ES_tradnl"/>
        </w:rPr>
      </w:pPr>
      <w:bookmarkStart w:id="5" w:name="_Ref72601502"/>
      <w:bookmarkStart w:id="6" w:name="_Toc72771620"/>
      <w:r>
        <w:t xml:space="preserve">Figura </w:t>
      </w:r>
      <w:r w:rsidR="000606DB">
        <w:rPr>
          <w:noProof/>
        </w:rPr>
        <w:fldChar w:fldCharType="begin"/>
      </w:r>
      <w:r w:rsidR="000606DB">
        <w:rPr>
          <w:noProof/>
        </w:rPr>
        <w:instrText xml:space="preserve"> SEQ Figura \* ARABIC </w:instrText>
      </w:r>
      <w:r w:rsidR="000606DB">
        <w:rPr>
          <w:noProof/>
        </w:rPr>
        <w:fldChar w:fldCharType="separate"/>
      </w:r>
      <w:r w:rsidR="006C0251">
        <w:rPr>
          <w:noProof/>
        </w:rPr>
        <w:t>2</w:t>
      </w:r>
      <w:r w:rsidR="000606DB">
        <w:rPr>
          <w:noProof/>
        </w:rPr>
        <w:fldChar w:fldCharType="end"/>
      </w:r>
      <w:bookmarkEnd w:id="5"/>
      <w:r>
        <w:t>. Papel que puede jugar el sector forestal en la bioeconomía de Euskadi.</w:t>
      </w:r>
      <w:bookmarkEnd w:id="6"/>
    </w:p>
    <w:p w14:paraId="30CF5BBD" w14:textId="2D91071F" w:rsidR="004554F7" w:rsidRDefault="004554F7" w:rsidP="007541A9">
      <w:pPr>
        <w:pStyle w:val="Normalaweb"/>
        <w:shd w:val="clear" w:color="auto" w:fill="FFFFFF"/>
        <w:spacing w:before="120" w:after="240"/>
        <w:jc w:val="both"/>
        <w:textAlignment w:val="baseline"/>
        <w:rPr>
          <w:rFonts w:asciiTheme="minorHAnsi" w:eastAsiaTheme="minorEastAsia" w:hAnsiTheme="minorHAnsi" w:cstheme="minorHAnsi"/>
          <w:sz w:val="22"/>
          <w:szCs w:val="22"/>
          <w:lang w:val="es-ES_tradnl"/>
        </w:rPr>
      </w:pPr>
      <w:r>
        <w:rPr>
          <w:rFonts w:asciiTheme="minorHAnsi" w:eastAsiaTheme="minorEastAsia" w:hAnsiTheme="minorHAnsi" w:cstheme="minorHAnsi"/>
          <w:sz w:val="22"/>
          <w:szCs w:val="22"/>
          <w:lang w:val="es-ES_tradnl"/>
        </w:rPr>
        <w:t xml:space="preserve">La </w:t>
      </w:r>
      <w:r w:rsidR="00504F28">
        <w:rPr>
          <w:rFonts w:asciiTheme="minorHAnsi" w:eastAsiaTheme="minorEastAsia" w:hAnsiTheme="minorHAnsi" w:cstheme="minorHAnsi"/>
          <w:sz w:val="22"/>
          <w:szCs w:val="22"/>
          <w:lang w:val="es-ES_tradnl"/>
        </w:rPr>
        <w:t>b</w:t>
      </w:r>
      <w:r>
        <w:rPr>
          <w:rFonts w:asciiTheme="minorHAnsi" w:eastAsiaTheme="minorEastAsia" w:hAnsiTheme="minorHAnsi" w:cstheme="minorHAnsi"/>
          <w:sz w:val="22"/>
          <w:szCs w:val="22"/>
          <w:lang w:val="es-ES_tradnl"/>
        </w:rPr>
        <w:t>ioeconomía también puede dar solución a la gestión de los residuos sólidos urbanos, generando a través de tecnología productos biobasados de alto valor añadido que tienen su origen en problemas tan importantes como el desperdicio alimentario (</w:t>
      </w:r>
      <w:r>
        <w:rPr>
          <w:rFonts w:asciiTheme="minorHAnsi" w:eastAsiaTheme="minorEastAsia" w:hAnsiTheme="minorHAnsi" w:cstheme="minorHAnsi"/>
          <w:sz w:val="22"/>
          <w:szCs w:val="22"/>
          <w:lang w:val="es-ES_tradnl"/>
        </w:rPr>
        <w:fldChar w:fldCharType="begin"/>
      </w:r>
      <w:r>
        <w:rPr>
          <w:rFonts w:asciiTheme="minorHAnsi" w:eastAsiaTheme="minorEastAsia" w:hAnsiTheme="minorHAnsi" w:cstheme="minorHAnsi"/>
          <w:sz w:val="22"/>
          <w:szCs w:val="22"/>
          <w:lang w:val="es-ES_tradnl"/>
        </w:rPr>
        <w:instrText xml:space="preserve"> REF _Ref72602536 \h  \* MERGEFORMAT </w:instrText>
      </w:r>
      <w:r>
        <w:rPr>
          <w:rFonts w:asciiTheme="minorHAnsi" w:eastAsiaTheme="minorEastAsia" w:hAnsiTheme="minorHAnsi" w:cstheme="minorHAnsi"/>
          <w:sz w:val="22"/>
          <w:szCs w:val="22"/>
          <w:lang w:val="es-ES_tradnl"/>
        </w:rPr>
      </w:r>
      <w:r>
        <w:rPr>
          <w:rFonts w:asciiTheme="minorHAnsi" w:eastAsiaTheme="minorEastAsia" w:hAnsiTheme="minorHAnsi" w:cstheme="minorHAnsi"/>
          <w:sz w:val="22"/>
          <w:szCs w:val="22"/>
          <w:lang w:val="es-ES_tradnl"/>
        </w:rPr>
        <w:fldChar w:fldCharType="separate"/>
      </w:r>
      <w:r w:rsidR="006C0251" w:rsidRPr="006C0251">
        <w:rPr>
          <w:rFonts w:asciiTheme="minorHAnsi" w:eastAsiaTheme="minorEastAsia" w:hAnsiTheme="minorHAnsi" w:cstheme="minorHAnsi"/>
          <w:sz w:val="22"/>
          <w:szCs w:val="22"/>
          <w:lang w:val="es-ES_tradnl"/>
        </w:rPr>
        <w:t>Figura 3</w:t>
      </w:r>
      <w:r>
        <w:rPr>
          <w:rFonts w:asciiTheme="minorHAnsi" w:eastAsiaTheme="minorEastAsia" w:hAnsiTheme="minorHAnsi" w:cstheme="minorHAnsi"/>
          <w:sz w:val="22"/>
          <w:szCs w:val="22"/>
          <w:lang w:val="es-ES_tradnl"/>
        </w:rPr>
        <w:fldChar w:fldCharType="end"/>
      </w:r>
      <w:r>
        <w:rPr>
          <w:rFonts w:asciiTheme="minorHAnsi" w:eastAsiaTheme="minorEastAsia" w:hAnsiTheme="minorHAnsi" w:cstheme="minorHAnsi"/>
          <w:sz w:val="22"/>
          <w:szCs w:val="22"/>
          <w:lang w:val="es-ES_tradnl"/>
        </w:rPr>
        <w:t xml:space="preserve">). </w:t>
      </w:r>
    </w:p>
    <w:p w14:paraId="5BFF865B" w14:textId="4FEB5DFF" w:rsidR="004554F7" w:rsidRDefault="0018193E" w:rsidP="007541A9">
      <w:pPr>
        <w:pStyle w:val="Normalaweb"/>
        <w:shd w:val="clear" w:color="auto" w:fill="FFFFFF"/>
        <w:spacing w:before="120" w:after="240"/>
        <w:jc w:val="both"/>
        <w:textAlignment w:val="baseline"/>
        <w:rPr>
          <w:rFonts w:asciiTheme="minorHAnsi" w:eastAsiaTheme="minorEastAsia" w:hAnsiTheme="minorHAnsi" w:cstheme="minorHAnsi"/>
          <w:sz w:val="22"/>
          <w:szCs w:val="22"/>
          <w:lang w:val="es-ES_tradnl"/>
        </w:rPr>
      </w:pPr>
      <w:r>
        <w:rPr>
          <w:noProof/>
        </w:rPr>
        <w:drawing>
          <wp:inline distT="0" distB="0" distL="0" distR="0" wp14:anchorId="273991D6" wp14:editId="23DD13CF">
            <wp:extent cx="5482390" cy="3200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2390" cy="3200400"/>
                    </a:xfrm>
                    <a:prstGeom prst="rect">
                      <a:avLst/>
                    </a:prstGeom>
                  </pic:spPr>
                </pic:pic>
              </a:graphicData>
            </a:graphic>
          </wp:inline>
        </w:drawing>
      </w:r>
    </w:p>
    <w:p w14:paraId="78A64070" w14:textId="2FB5EBC1" w:rsidR="004554F7" w:rsidRDefault="004554F7" w:rsidP="007541A9">
      <w:pPr>
        <w:pStyle w:val="Epigrafea"/>
        <w:rPr>
          <w:rFonts w:asciiTheme="minorHAnsi" w:eastAsiaTheme="minorEastAsia" w:hAnsiTheme="minorHAnsi" w:cstheme="minorHAnsi"/>
          <w:sz w:val="22"/>
          <w:szCs w:val="22"/>
          <w:lang w:val="es-ES_tradnl"/>
        </w:rPr>
      </w:pPr>
      <w:bookmarkStart w:id="7" w:name="_Ref72602536"/>
      <w:bookmarkStart w:id="8" w:name="_Toc72771621"/>
      <w:r>
        <w:t xml:space="preserve">Figura </w:t>
      </w:r>
      <w:r w:rsidR="000606DB">
        <w:rPr>
          <w:noProof/>
        </w:rPr>
        <w:fldChar w:fldCharType="begin"/>
      </w:r>
      <w:r w:rsidR="000606DB">
        <w:rPr>
          <w:noProof/>
        </w:rPr>
        <w:instrText xml:space="preserve"> SEQ Figura \* ARABIC </w:instrText>
      </w:r>
      <w:r w:rsidR="000606DB">
        <w:rPr>
          <w:noProof/>
        </w:rPr>
        <w:fldChar w:fldCharType="separate"/>
      </w:r>
      <w:r w:rsidR="006C0251">
        <w:rPr>
          <w:noProof/>
        </w:rPr>
        <w:t>3</w:t>
      </w:r>
      <w:r w:rsidR="000606DB">
        <w:rPr>
          <w:noProof/>
        </w:rPr>
        <w:fldChar w:fldCharType="end"/>
      </w:r>
      <w:bookmarkEnd w:id="7"/>
      <w:r>
        <w:t>. Productos de alto valor añadido tomando como base los residuos sólidos urbanos.</w:t>
      </w:r>
      <w:bookmarkEnd w:id="8"/>
    </w:p>
    <w:p w14:paraId="3B5F38AA" w14:textId="48435A28" w:rsidR="005B4F41" w:rsidRDefault="005B4F41" w:rsidP="007541A9">
      <w:pPr>
        <w:pStyle w:val="Normalaweb"/>
        <w:shd w:val="clear" w:color="auto" w:fill="FFFFFF"/>
        <w:spacing w:before="120" w:after="240"/>
        <w:jc w:val="both"/>
        <w:textAlignment w:val="baseline"/>
        <w:rPr>
          <w:rFonts w:asciiTheme="minorHAnsi" w:eastAsiaTheme="minorEastAsia" w:hAnsiTheme="minorHAnsi" w:cstheme="minorHAnsi"/>
          <w:sz w:val="22"/>
          <w:szCs w:val="22"/>
          <w:lang w:val="es-ES_tradnl"/>
        </w:rPr>
      </w:pPr>
      <w:r w:rsidRPr="19739570">
        <w:rPr>
          <w:rFonts w:asciiTheme="minorHAnsi" w:eastAsiaTheme="minorEastAsia" w:hAnsiTheme="minorHAnsi" w:cstheme="minorBidi"/>
          <w:sz w:val="22"/>
          <w:szCs w:val="22"/>
        </w:rPr>
        <w:t xml:space="preserve">Entre los diferentes sectores, el del automóvil puede ser </w:t>
      </w:r>
      <w:r w:rsidR="00FC040A" w:rsidRPr="19739570">
        <w:rPr>
          <w:rFonts w:asciiTheme="minorHAnsi" w:eastAsiaTheme="minorEastAsia" w:hAnsiTheme="minorHAnsi" w:cstheme="minorBidi"/>
          <w:sz w:val="22"/>
          <w:szCs w:val="22"/>
        </w:rPr>
        <w:t>uno de los que más evolucionen</w:t>
      </w:r>
      <w:r w:rsidRPr="19739570">
        <w:rPr>
          <w:rFonts w:asciiTheme="minorHAnsi" w:eastAsiaTheme="minorEastAsia" w:hAnsiTheme="minorHAnsi" w:cstheme="minorBidi"/>
          <w:sz w:val="22"/>
          <w:szCs w:val="22"/>
        </w:rPr>
        <w:t xml:space="preserve"> hacia un sistema sostenible a través del empleo de bioplásticos y nuevos materiales sostenibles</w:t>
      </w:r>
      <w:r w:rsidR="004554F7" w:rsidRPr="19739570">
        <w:rPr>
          <w:rFonts w:asciiTheme="minorHAnsi" w:eastAsiaTheme="minorEastAsia" w:hAnsiTheme="minorHAnsi" w:cstheme="minorBidi"/>
          <w:sz w:val="22"/>
          <w:szCs w:val="22"/>
        </w:rPr>
        <w:t xml:space="preserve"> </w:t>
      </w:r>
      <w:r w:rsidR="004554F7" w:rsidRPr="19739570">
        <w:rPr>
          <w:rFonts w:asciiTheme="minorHAnsi" w:eastAsiaTheme="minorEastAsia" w:hAnsiTheme="minorHAnsi" w:cstheme="minorBidi"/>
          <w:sz w:val="22"/>
          <w:szCs w:val="22"/>
        </w:rPr>
        <w:lastRenderedPageBreak/>
        <w:t>(</w:t>
      </w:r>
      <w:r w:rsidR="004554F7" w:rsidRPr="19739570">
        <w:rPr>
          <w:rFonts w:asciiTheme="minorHAnsi" w:eastAsiaTheme="minorEastAsia" w:hAnsiTheme="minorHAnsi" w:cstheme="minorBidi"/>
          <w:sz w:val="22"/>
          <w:szCs w:val="22"/>
        </w:rPr>
        <w:fldChar w:fldCharType="begin"/>
      </w:r>
      <w:r w:rsidR="004554F7" w:rsidRPr="19739570">
        <w:rPr>
          <w:rFonts w:asciiTheme="minorHAnsi" w:eastAsiaTheme="minorEastAsia" w:hAnsiTheme="minorHAnsi" w:cstheme="minorBidi"/>
          <w:sz w:val="22"/>
          <w:szCs w:val="22"/>
        </w:rPr>
        <w:instrText xml:space="preserve"> REF _Ref72602018 \h  \* MERGEFORMAT </w:instrText>
      </w:r>
      <w:r w:rsidR="004554F7" w:rsidRPr="19739570">
        <w:rPr>
          <w:rFonts w:asciiTheme="minorHAnsi" w:eastAsiaTheme="minorEastAsia" w:hAnsiTheme="minorHAnsi" w:cstheme="minorBidi"/>
          <w:sz w:val="22"/>
          <w:szCs w:val="22"/>
        </w:rPr>
      </w:r>
      <w:r w:rsidR="004554F7" w:rsidRPr="19739570">
        <w:rPr>
          <w:rFonts w:asciiTheme="minorHAnsi" w:eastAsiaTheme="minorEastAsia" w:hAnsiTheme="minorHAnsi" w:cstheme="minorBidi"/>
          <w:sz w:val="22"/>
          <w:szCs w:val="22"/>
        </w:rPr>
        <w:fldChar w:fldCharType="separate"/>
      </w:r>
      <w:r w:rsidR="006C0251" w:rsidRPr="006C0251">
        <w:rPr>
          <w:rFonts w:asciiTheme="minorHAnsi" w:hAnsiTheme="minorHAnsi" w:cstheme="minorBidi"/>
          <w:sz w:val="22"/>
          <w:szCs w:val="22"/>
        </w:rPr>
        <w:t xml:space="preserve">Figura </w:t>
      </w:r>
      <w:r w:rsidR="006C0251" w:rsidRPr="006C0251">
        <w:rPr>
          <w:rFonts w:asciiTheme="minorHAnsi" w:hAnsiTheme="minorHAnsi" w:cstheme="minorBidi"/>
          <w:noProof/>
          <w:sz w:val="22"/>
          <w:szCs w:val="22"/>
        </w:rPr>
        <w:t>4</w:t>
      </w:r>
      <w:r w:rsidR="004554F7" w:rsidRPr="19739570">
        <w:rPr>
          <w:rFonts w:asciiTheme="minorHAnsi" w:eastAsiaTheme="minorEastAsia" w:hAnsiTheme="minorHAnsi" w:cstheme="minorBidi"/>
          <w:sz w:val="22"/>
          <w:szCs w:val="22"/>
        </w:rPr>
        <w:fldChar w:fldCharType="end"/>
      </w:r>
      <w:r w:rsidR="004554F7" w:rsidRPr="19739570">
        <w:rPr>
          <w:rFonts w:asciiTheme="minorHAnsi" w:eastAsiaTheme="minorEastAsia" w:hAnsiTheme="minorHAnsi" w:cstheme="minorBidi"/>
          <w:sz w:val="22"/>
          <w:szCs w:val="22"/>
        </w:rPr>
        <w:t>)</w:t>
      </w:r>
      <w:r w:rsidRPr="19739570">
        <w:rPr>
          <w:rFonts w:asciiTheme="minorHAnsi" w:eastAsiaTheme="minorEastAsia" w:hAnsiTheme="minorHAnsi" w:cstheme="minorBidi"/>
          <w:sz w:val="22"/>
          <w:szCs w:val="22"/>
        </w:rPr>
        <w:t>.</w:t>
      </w:r>
      <w:r>
        <w:rPr>
          <w:rFonts w:asciiTheme="minorHAnsi" w:eastAsiaTheme="minorEastAsia" w:hAnsiTheme="minorHAnsi" w:cstheme="minorHAnsi"/>
          <w:noProof/>
          <w:sz w:val="22"/>
          <w:szCs w:val="22"/>
        </w:rPr>
        <w:drawing>
          <wp:inline distT="0" distB="0" distL="0" distR="0" wp14:anchorId="7F06251C" wp14:editId="2B5F2E8A">
            <wp:extent cx="4958440" cy="3359723"/>
            <wp:effectExtent l="0" t="0" r="0" b="0"/>
            <wp:docPr id="41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OVIL.jpg"/>
                    <pic:cNvPicPr/>
                  </pic:nvPicPr>
                  <pic:blipFill rotWithShape="1">
                    <a:blip r:embed="rId23">
                      <a:extLst>
                        <a:ext uri="{28A0092B-C50C-407E-A947-70E740481C1C}">
                          <a14:useLocalDpi xmlns:a14="http://schemas.microsoft.com/office/drawing/2010/main" val="0"/>
                        </a:ext>
                      </a:extLst>
                    </a:blip>
                    <a:srcRect t="9656"/>
                    <a:stretch/>
                  </pic:blipFill>
                  <pic:spPr bwMode="auto">
                    <a:xfrm>
                      <a:off x="0" y="0"/>
                      <a:ext cx="4980813" cy="3374883"/>
                    </a:xfrm>
                    <a:prstGeom prst="rect">
                      <a:avLst/>
                    </a:prstGeom>
                    <a:ln>
                      <a:noFill/>
                    </a:ln>
                    <a:extLst>
                      <a:ext uri="{53640926-AAD7-44D8-BBD7-CCE9431645EC}">
                        <a14:shadowObscured xmlns:a14="http://schemas.microsoft.com/office/drawing/2010/main"/>
                      </a:ext>
                    </a:extLst>
                  </pic:spPr>
                </pic:pic>
              </a:graphicData>
            </a:graphic>
          </wp:inline>
        </w:drawing>
      </w:r>
    </w:p>
    <w:p w14:paraId="7E8A825A" w14:textId="130FE9A1" w:rsidR="005B4F41" w:rsidRPr="005B4F41" w:rsidRDefault="005B4F41" w:rsidP="007541A9">
      <w:pPr>
        <w:pStyle w:val="Epigrafea"/>
        <w:rPr>
          <w:rFonts w:asciiTheme="minorHAnsi" w:eastAsiaTheme="minorEastAsia" w:hAnsiTheme="minorHAnsi" w:cstheme="minorHAnsi"/>
          <w:sz w:val="22"/>
          <w:szCs w:val="22"/>
          <w:lang w:val="es-ES_tradnl" w:eastAsia="es-ES"/>
        </w:rPr>
      </w:pPr>
      <w:bookmarkStart w:id="9" w:name="_Ref72602018"/>
      <w:bookmarkStart w:id="10" w:name="_Toc72771622"/>
      <w:r>
        <w:t xml:space="preserve">Figura </w:t>
      </w:r>
      <w:r w:rsidR="000606DB">
        <w:rPr>
          <w:noProof/>
        </w:rPr>
        <w:fldChar w:fldCharType="begin"/>
      </w:r>
      <w:r w:rsidR="000606DB">
        <w:rPr>
          <w:noProof/>
        </w:rPr>
        <w:instrText xml:space="preserve"> SEQ Figura \* ARABIC </w:instrText>
      </w:r>
      <w:r w:rsidR="000606DB">
        <w:rPr>
          <w:noProof/>
        </w:rPr>
        <w:fldChar w:fldCharType="separate"/>
      </w:r>
      <w:r w:rsidR="006C0251">
        <w:rPr>
          <w:noProof/>
        </w:rPr>
        <w:t>4</w:t>
      </w:r>
      <w:r w:rsidR="000606DB">
        <w:rPr>
          <w:noProof/>
        </w:rPr>
        <w:fldChar w:fldCharType="end"/>
      </w:r>
      <w:bookmarkEnd w:id="9"/>
      <w:r>
        <w:t xml:space="preserve">. </w:t>
      </w:r>
      <w:r w:rsidR="004554F7">
        <w:t>Uso de productos biobasados para el sector del automóvil.</w:t>
      </w:r>
      <w:bookmarkEnd w:id="10"/>
      <w:r w:rsidR="004554F7">
        <w:t xml:space="preserve"> </w:t>
      </w:r>
    </w:p>
    <w:p w14:paraId="6F860981" w14:textId="58036DF6" w:rsidR="00571BCB" w:rsidRDefault="003B406D" w:rsidP="007541A9">
      <w:pPr>
        <w:pStyle w:val="Normalaweb"/>
        <w:shd w:val="clear" w:color="auto" w:fill="FFFFFF"/>
        <w:spacing w:before="120" w:after="240"/>
        <w:jc w:val="both"/>
        <w:textAlignment w:val="baseline"/>
        <w:rPr>
          <w:rFonts w:asciiTheme="minorHAnsi" w:eastAsiaTheme="minorHAnsi" w:hAnsiTheme="minorHAnsi" w:cstheme="minorBidi"/>
          <w:sz w:val="22"/>
          <w:szCs w:val="22"/>
          <w:lang w:eastAsia="en-US"/>
        </w:rPr>
      </w:pPr>
      <w:r w:rsidRPr="00062918">
        <w:rPr>
          <w:rFonts w:asciiTheme="minorHAnsi" w:eastAsiaTheme="minorHAnsi" w:hAnsiTheme="minorHAnsi" w:cstheme="minorBidi"/>
          <w:sz w:val="22"/>
          <w:szCs w:val="22"/>
          <w:lang w:eastAsia="en-US"/>
        </w:rPr>
        <w:t>Estos son algunos ejemplos</w:t>
      </w:r>
      <w:r w:rsidR="003171FC" w:rsidRPr="00062918">
        <w:rPr>
          <w:rFonts w:asciiTheme="minorHAnsi" w:eastAsiaTheme="minorHAnsi" w:hAnsiTheme="minorHAnsi" w:cstheme="minorBidi"/>
          <w:sz w:val="22"/>
          <w:szCs w:val="22"/>
          <w:lang w:eastAsia="en-US"/>
        </w:rPr>
        <w:t>,</w:t>
      </w:r>
      <w:r w:rsidRPr="00062918">
        <w:rPr>
          <w:rFonts w:asciiTheme="minorHAnsi" w:eastAsiaTheme="minorHAnsi" w:hAnsiTheme="minorHAnsi" w:cstheme="minorBidi"/>
          <w:sz w:val="22"/>
          <w:szCs w:val="22"/>
          <w:lang w:eastAsia="en-US"/>
        </w:rPr>
        <w:t xml:space="preserve"> </w:t>
      </w:r>
      <w:r w:rsidR="003171FC" w:rsidRPr="00062918">
        <w:rPr>
          <w:rFonts w:asciiTheme="minorHAnsi" w:eastAsiaTheme="minorHAnsi" w:hAnsiTheme="minorHAnsi" w:cstheme="minorBidi"/>
          <w:sz w:val="22"/>
          <w:szCs w:val="22"/>
          <w:lang w:eastAsia="en-US"/>
        </w:rPr>
        <w:t xml:space="preserve">pero la </w:t>
      </w:r>
      <w:r w:rsidR="00B30879">
        <w:rPr>
          <w:rFonts w:asciiTheme="minorHAnsi" w:eastAsiaTheme="minorHAnsi" w:hAnsiTheme="minorHAnsi" w:cstheme="minorBidi"/>
          <w:sz w:val="22"/>
          <w:szCs w:val="22"/>
          <w:lang w:eastAsia="en-US"/>
        </w:rPr>
        <w:t>b</w:t>
      </w:r>
      <w:r w:rsidR="003171FC" w:rsidRPr="00062918">
        <w:rPr>
          <w:rFonts w:asciiTheme="minorHAnsi" w:eastAsiaTheme="minorHAnsi" w:hAnsiTheme="minorHAnsi" w:cstheme="minorBidi"/>
          <w:sz w:val="22"/>
          <w:szCs w:val="22"/>
          <w:lang w:eastAsia="en-US"/>
        </w:rPr>
        <w:t xml:space="preserve">ioeconomía </w:t>
      </w:r>
      <w:r w:rsidR="00B30879">
        <w:rPr>
          <w:rFonts w:asciiTheme="minorHAnsi" w:eastAsiaTheme="minorHAnsi" w:hAnsiTheme="minorHAnsi" w:cstheme="minorBidi"/>
          <w:sz w:val="22"/>
          <w:szCs w:val="22"/>
          <w:lang w:eastAsia="en-US"/>
        </w:rPr>
        <w:t>c</w:t>
      </w:r>
      <w:r w:rsidR="003171FC" w:rsidRPr="00062918">
        <w:rPr>
          <w:rFonts w:asciiTheme="minorHAnsi" w:eastAsiaTheme="minorHAnsi" w:hAnsiTheme="minorHAnsi" w:cstheme="minorBidi"/>
          <w:sz w:val="22"/>
          <w:szCs w:val="22"/>
          <w:lang w:eastAsia="en-US"/>
        </w:rPr>
        <w:t>ircular permite obtener muchos bioproductos de alto valor añadido</w:t>
      </w:r>
      <w:r w:rsidR="00571BCB">
        <w:rPr>
          <w:rFonts w:asciiTheme="minorHAnsi" w:eastAsiaTheme="minorHAnsi" w:hAnsiTheme="minorHAnsi" w:cstheme="minorBidi"/>
          <w:sz w:val="22"/>
          <w:szCs w:val="22"/>
          <w:lang w:eastAsia="en-US"/>
        </w:rPr>
        <w:t>,</w:t>
      </w:r>
      <w:r w:rsidR="003171FC" w:rsidRPr="00062918">
        <w:rPr>
          <w:rFonts w:asciiTheme="minorHAnsi" w:eastAsiaTheme="minorHAnsi" w:hAnsiTheme="minorHAnsi" w:cstheme="minorBidi"/>
          <w:sz w:val="22"/>
          <w:szCs w:val="22"/>
          <w:lang w:eastAsia="en-US"/>
        </w:rPr>
        <w:t xml:space="preserve"> como así lo demuestran los datos (</w:t>
      </w:r>
      <w:r w:rsidR="003171FC" w:rsidRPr="00062918">
        <w:rPr>
          <w:rFonts w:asciiTheme="minorHAnsi" w:eastAsiaTheme="minorHAnsi" w:hAnsiTheme="minorHAnsi" w:cstheme="minorBidi"/>
          <w:sz w:val="22"/>
          <w:szCs w:val="22"/>
          <w:lang w:eastAsia="en-US"/>
        </w:rPr>
        <w:fldChar w:fldCharType="begin"/>
      </w:r>
      <w:r w:rsidR="003171FC" w:rsidRPr="00062918">
        <w:rPr>
          <w:rFonts w:asciiTheme="minorHAnsi" w:eastAsiaTheme="minorHAnsi" w:hAnsiTheme="minorHAnsi" w:cstheme="minorBidi"/>
          <w:sz w:val="22"/>
          <w:szCs w:val="22"/>
          <w:lang w:eastAsia="en-US"/>
        </w:rPr>
        <w:instrText xml:space="preserve"> REF _Ref72592868 \h  \* MERGEFORMAT </w:instrText>
      </w:r>
      <w:r w:rsidR="003171FC" w:rsidRPr="00062918">
        <w:rPr>
          <w:rFonts w:asciiTheme="minorHAnsi" w:eastAsiaTheme="minorHAnsi" w:hAnsiTheme="minorHAnsi" w:cstheme="minorBidi"/>
          <w:sz w:val="22"/>
          <w:szCs w:val="22"/>
          <w:lang w:eastAsia="en-US"/>
        </w:rPr>
      </w:r>
      <w:r w:rsidR="003171FC" w:rsidRPr="00062918">
        <w:rPr>
          <w:rFonts w:asciiTheme="minorHAnsi" w:eastAsiaTheme="minorHAnsi" w:hAnsiTheme="minorHAnsi" w:cstheme="minorBidi"/>
          <w:sz w:val="22"/>
          <w:szCs w:val="22"/>
          <w:lang w:eastAsia="en-US"/>
        </w:rPr>
        <w:fldChar w:fldCharType="separate"/>
      </w:r>
      <w:r w:rsidR="006C0251" w:rsidRPr="006C0251">
        <w:rPr>
          <w:rFonts w:asciiTheme="minorHAnsi" w:eastAsiaTheme="minorHAnsi" w:hAnsiTheme="minorHAnsi" w:cstheme="minorBidi"/>
          <w:sz w:val="22"/>
          <w:szCs w:val="22"/>
          <w:lang w:eastAsia="en-US"/>
        </w:rPr>
        <w:t>Figura 5</w:t>
      </w:r>
      <w:r w:rsidR="003171FC" w:rsidRPr="00062918">
        <w:rPr>
          <w:rFonts w:asciiTheme="minorHAnsi" w:eastAsiaTheme="minorHAnsi" w:hAnsiTheme="minorHAnsi" w:cstheme="minorBidi"/>
          <w:sz w:val="22"/>
          <w:szCs w:val="22"/>
          <w:lang w:eastAsia="en-US"/>
        </w:rPr>
        <w:fldChar w:fldCharType="end"/>
      </w:r>
      <w:r w:rsidR="003171FC" w:rsidRPr="00062918">
        <w:rPr>
          <w:rFonts w:asciiTheme="minorHAnsi" w:eastAsiaTheme="minorHAnsi" w:hAnsiTheme="minorHAnsi" w:cstheme="minorBidi"/>
          <w:sz w:val="22"/>
          <w:szCs w:val="22"/>
          <w:lang w:eastAsia="en-US"/>
        </w:rPr>
        <w:t>).</w:t>
      </w:r>
      <w:r w:rsidR="00571BCB">
        <w:rPr>
          <w:rFonts w:asciiTheme="minorHAnsi" w:eastAsiaTheme="minorHAnsi" w:hAnsiTheme="minorHAnsi" w:cstheme="minorBidi"/>
          <w:sz w:val="22"/>
          <w:szCs w:val="22"/>
          <w:lang w:eastAsia="en-US"/>
        </w:rPr>
        <w:t xml:space="preserve"> </w:t>
      </w:r>
    </w:p>
    <w:p w14:paraId="7EF6BC00" w14:textId="286C21A6" w:rsidR="003171FC" w:rsidRDefault="003171FC" w:rsidP="007541A9">
      <w:pPr>
        <w:pStyle w:val="Normalaweb"/>
        <w:shd w:val="clear" w:color="auto" w:fill="FFFFFF"/>
        <w:spacing w:before="120" w:beforeAutospacing="0" w:after="240" w:afterAutospacing="0"/>
        <w:ind w:left="360"/>
        <w:jc w:val="both"/>
        <w:textAlignment w:val="baseline"/>
        <w:rPr>
          <w:rFonts w:asciiTheme="minorHAnsi" w:eastAsiaTheme="minorHAnsi" w:hAnsiTheme="minorHAnsi" w:cstheme="minorBidi"/>
          <w:sz w:val="22"/>
          <w:szCs w:val="22"/>
          <w:lang w:eastAsia="en-US"/>
        </w:rPr>
      </w:pPr>
      <w:r w:rsidRPr="003171FC">
        <w:rPr>
          <w:rFonts w:asciiTheme="minorHAnsi" w:eastAsiaTheme="minorHAnsi" w:hAnsiTheme="minorHAnsi" w:cstheme="minorBidi"/>
          <w:noProof/>
          <w:sz w:val="22"/>
          <w:szCs w:val="22"/>
        </w:rPr>
        <w:drawing>
          <wp:inline distT="0" distB="0" distL="0" distR="0" wp14:anchorId="5753AE9A" wp14:editId="7D8937D3">
            <wp:extent cx="5481320" cy="3023148"/>
            <wp:effectExtent l="0" t="0" r="5080" b="635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398"/>
                    <a:stretch/>
                  </pic:blipFill>
                  <pic:spPr bwMode="auto">
                    <a:xfrm>
                      <a:off x="0" y="0"/>
                      <a:ext cx="5485667" cy="3025545"/>
                    </a:xfrm>
                    <a:prstGeom prst="rect">
                      <a:avLst/>
                    </a:prstGeom>
                    <a:ln>
                      <a:noFill/>
                    </a:ln>
                    <a:extLst>
                      <a:ext uri="{53640926-AAD7-44D8-BBD7-CCE9431645EC}">
                        <a14:shadowObscured xmlns:a14="http://schemas.microsoft.com/office/drawing/2010/main"/>
                      </a:ext>
                    </a:extLst>
                  </pic:spPr>
                </pic:pic>
              </a:graphicData>
            </a:graphic>
          </wp:inline>
        </w:drawing>
      </w:r>
    </w:p>
    <w:p w14:paraId="05A7BC88" w14:textId="6DCC5BF3" w:rsidR="003171FC" w:rsidRPr="002E1F9C" w:rsidRDefault="003171FC" w:rsidP="007541A9">
      <w:pPr>
        <w:pStyle w:val="Normalaweb"/>
        <w:shd w:val="clear" w:color="auto" w:fill="FFFFFF"/>
        <w:spacing w:before="0" w:beforeAutospacing="0" w:after="0" w:afterAutospacing="0"/>
        <w:jc w:val="both"/>
        <w:textAlignment w:val="baseline"/>
        <w:rPr>
          <w:rFonts w:ascii="Calibri Light" w:hAnsi="Calibri Light"/>
          <w:color w:val="4F81BD" w:themeColor="accent1"/>
          <w:sz w:val="18"/>
          <w:szCs w:val="18"/>
          <w:lang w:val="en-GB"/>
        </w:rPr>
      </w:pPr>
      <w:bookmarkStart w:id="11" w:name="_Ref72592868"/>
      <w:bookmarkStart w:id="12" w:name="_Toc72771623"/>
      <w:r w:rsidRPr="003171FC">
        <w:rPr>
          <w:rFonts w:ascii="Calibri Light" w:hAnsi="Calibri Light"/>
          <w:b/>
          <w:color w:val="4F81BD" w:themeColor="accent1"/>
          <w:sz w:val="18"/>
          <w:szCs w:val="18"/>
        </w:rPr>
        <w:t xml:space="preserve">Figura </w:t>
      </w:r>
      <w:r w:rsidRPr="003171FC">
        <w:rPr>
          <w:rFonts w:ascii="Calibri Light" w:hAnsi="Calibri Light"/>
          <w:b/>
          <w:color w:val="4F81BD" w:themeColor="accent1"/>
          <w:sz w:val="18"/>
          <w:szCs w:val="18"/>
        </w:rPr>
        <w:fldChar w:fldCharType="begin"/>
      </w:r>
      <w:r w:rsidRPr="003171FC">
        <w:rPr>
          <w:rFonts w:ascii="Calibri Light" w:hAnsi="Calibri Light"/>
          <w:b/>
          <w:color w:val="4F81BD" w:themeColor="accent1"/>
          <w:sz w:val="18"/>
          <w:szCs w:val="18"/>
        </w:rPr>
        <w:instrText xml:space="preserve"> SEQ Figura \* ARABIC </w:instrText>
      </w:r>
      <w:r w:rsidRPr="003171FC">
        <w:rPr>
          <w:rFonts w:ascii="Calibri Light" w:hAnsi="Calibri Light"/>
          <w:b/>
          <w:color w:val="4F81BD" w:themeColor="accent1"/>
          <w:sz w:val="18"/>
          <w:szCs w:val="18"/>
        </w:rPr>
        <w:fldChar w:fldCharType="separate"/>
      </w:r>
      <w:r w:rsidR="006C0251">
        <w:rPr>
          <w:rFonts w:ascii="Calibri Light" w:hAnsi="Calibri Light"/>
          <w:b/>
          <w:noProof/>
          <w:color w:val="4F81BD" w:themeColor="accent1"/>
          <w:sz w:val="18"/>
          <w:szCs w:val="18"/>
        </w:rPr>
        <w:t>5</w:t>
      </w:r>
      <w:r w:rsidRPr="003171FC">
        <w:rPr>
          <w:rFonts w:ascii="Calibri Light" w:hAnsi="Calibri Light"/>
          <w:b/>
          <w:color w:val="4F81BD" w:themeColor="accent1"/>
          <w:sz w:val="18"/>
          <w:szCs w:val="18"/>
        </w:rPr>
        <w:fldChar w:fldCharType="end"/>
      </w:r>
      <w:bookmarkEnd w:id="11"/>
      <w:r w:rsidRPr="003171FC">
        <w:rPr>
          <w:rFonts w:ascii="Calibri Light" w:hAnsi="Calibri Light"/>
          <w:b/>
          <w:color w:val="4F81BD" w:themeColor="accent1"/>
          <w:sz w:val="18"/>
          <w:szCs w:val="18"/>
        </w:rPr>
        <w:t xml:space="preserve">. Diagrama de las tres fuentes de biomasa más representativa y su uso para productos finales. </w:t>
      </w:r>
      <w:r w:rsidRPr="002E1F9C">
        <w:rPr>
          <w:rFonts w:ascii="Calibri Light" w:hAnsi="Calibri Light"/>
          <w:color w:val="4F81BD" w:themeColor="accent1"/>
          <w:sz w:val="18"/>
          <w:szCs w:val="18"/>
          <w:lang w:val="en-GB"/>
        </w:rPr>
        <w:t>Fuente: Circular bioeconomy: The business opportunity contributing to a sustainable world.</w:t>
      </w:r>
      <w:bookmarkEnd w:id="12"/>
    </w:p>
    <w:p w14:paraId="5CED4D2C" w14:textId="2529AEA4" w:rsidR="00010041" w:rsidRDefault="00010041" w:rsidP="007541A9">
      <w:pPr>
        <w:pStyle w:val="Normalaweb"/>
        <w:shd w:val="clear" w:color="auto" w:fill="FFFFFF"/>
        <w:spacing w:before="120" w:after="24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Según el estudio “Bioeconomía Circular: oportunidad de negocio que contribuye a un mundo sostenible” realizado por Boston Consulting Group –BCG-, se estima que el valor económico de los productos biobasados alcance los 7,7 trillones de dólares sustituyendo a una infinidad de productos de origen fósil con diferentes fines de uso (</w:t>
      </w:r>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 REF _Ref72596519 \h  \* MERGEFORMAT </w:instrText>
      </w:r>
      <w:r>
        <w:rPr>
          <w:rFonts w:asciiTheme="minorHAnsi" w:eastAsiaTheme="minorHAnsi" w:hAnsiTheme="minorHAnsi" w:cstheme="minorBidi"/>
          <w:sz w:val="22"/>
          <w:szCs w:val="22"/>
          <w:lang w:eastAsia="en-US"/>
        </w:rPr>
      </w:r>
      <w:r>
        <w:rPr>
          <w:rFonts w:asciiTheme="minorHAnsi" w:eastAsiaTheme="minorHAnsi" w:hAnsiTheme="minorHAnsi" w:cstheme="minorBidi"/>
          <w:sz w:val="22"/>
          <w:szCs w:val="22"/>
          <w:lang w:eastAsia="en-US"/>
        </w:rPr>
        <w:fldChar w:fldCharType="separate"/>
      </w:r>
      <w:r w:rsidR="006C0251" w:rsidRPr="006C0251">
        <w:rPr>
          <w:rFonts w:asciiTheme="minorHAnsi" w:eastAsiaTheme="minorHAnsi" w:hAnsiTheme="minorHAnsi" w:cstheme="minorBidi"/>
          <w:sz w:val="22"/>
          <w:szCs w:val="22"/>
          <w:lang w:eastAsia="en-US"/>
        </w:rPr>
        <w:t>Figura 6</w:t>
      </w:r>
      <w:r>
        <w:rPr>
          <w:rFonts w:asciiTheme="minorHAnsi" w:eastAsiaTheme="minorHAnsi" w:hAnsiTheme="minorHAnsi" w:cstheme="minorBidi"/>
          <w:sz w:val="22"/>
          <w:szCs w:val="22"/>
          <w:lang w:eastAsia="en-US"/>
        </w:rPr>
        <w:fldChar w:fldCharType="end"/>
      </w:r>
      <w:r>
        <w:rPr>
          <w:rFonts w:asciiTheme="minorHAnsi" w:eastAsiaTheme="minorHAnsi" w:hAnsiTheme="minorHAnsi" w:cstheme="minorBidi"/>
          <w:sz w:val="22"/>
          <w:szCs w:val="22"/>
          <w:lang w:eastAsia="en-US"/>
        </w:rPr>
        <w:t>).</w:t>
      </w:r>
    </w:p>
    <w:p w14:paraId="1BD7AD69" w14:textId="6075B01E" w:rsidR="002038E0" w:rsidRPr="002038E0" w:rsidRDefault="00F5223A" w:rsidP="007541A9">
      <w:pPr>
        <w:pStyle w:val="Normalaweb"/>
        <w:shd w:val="clear" w:color="auto" w:fill="FFFFFF"/>
        <w:spacing w:before="120" w:beforeAutospacing="0" w:after="24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xml:space="preserve">Euskadi no se puede quedar atrás y tiene que aprovechar al máximo todas sus </w:t>
      </w:r>
      <w:r w:rsidR="002038E0">
        <w:rPr>
          <w:rFonts w:asciiTheme="minorHAnsi" w:eastAsiaTheme="minorHAnsi" w:hAnsiTheme="minorHAnsi" w:cstheme="minorBidi"/>
          <w:sz w:val="22"/>
          <w:szCs w:val="22"/>
          <w:lang w:eastAsia="en-US"/>
        </w:rPr>
        <w:t>capacidades para potenciar</w:t>
      </w:r>
      <w:r w:rsidR="00FA1A61">
        <w:rPr>
          <w:rFonts w:asciiTheme="minorHAnsi" w:eastAsiaTheme="minorHAnsi" w:hAnsiTheme="minorHAnsi" w:cstheme="minorBidi"/>
          <w:sz w:val="22"/>
          <w:szCs w:val="22"/>
          <w:lang w:eastAsia="en-US"/>
        </w:rPr>
        <w:t xml:space="preserve"> la bioe</w:t>
      </w:r>
      <w:r w:rsidR="002038E0">
        <w:rPr>
          <w:rFonts w:asciiTheme="minorHAnsi" w:eastAsiaTheme="minorHAnsi" w:hAnsiTheme="minorHAnsi" w:cstheme="minorBidi"/>
          <w:sz w:val="22"/>
          <w:szCs w:val="22"/>
          <w:lang w:eastAsia="en-US"/>
        </w:rPr>
        <w:t>c</w:t>
      </w:r>
      <w:r w:rsidR="00FA1A61">
        <w:rPr>
          <w:rFonts w:asciiTheme="minorHAnsi" w:eastAsiaTheme="minorHAnsi" w:hAnsiTheme="minorHAnsi" w:cstheme="minorBidi"/>
          <w:sz w:val="22"/>
          <w:szCs w:val="22"/>
          <w:lang w:eastAsia="en-US"/>
        </w:rPr>
        <w:t>o</w:t>
      </w:r>
      <w:r w:rsidR="002038E0">
        <w:rPr>
          <w:rFonts w:asciiTheme="minorHAnsi" w:eastAsiaTheme="minorHAnsi" w:hAnsiTheme="minorHAnsi" w:cstheme="minorBidi"/>
          <w:sz w:val="22"/>
          <w:szCs w:val="22"/>
          <w:lang w:eastAsia="en-US"/>
        </w:rPr>
        <w:t xml:space="preserve">nomía. Así, las </w:t>
      </w:r>
      <w:r w:rsidR="002038E0" w:rsidRPr="002038E0">
        <w:rPr>
          <w:rFonts w:asciiTheme="minorHAnsi" w:eastAsiaTheme="minorHAnsi" w:hAnsiTheme="minorHAnsi" w:cstheme="minorBidi"/>
          <w:sz w:val="22"/>
          <w:szCs w:val="22"/>
          <w:lang w:eastAsia="en-US"/>
        </w:rPr>
        <w:t>empresas de sectores pro</w:t>
      </w:r>
      <w:r w:rsidR="002038E0">
        <w:rPr>
          <w:rFonts w:asciiTheme="minorHAnsi" w:eastAsiaTheme="minorHAnsi" w:hAnsiTheme="minorHAnsi" w:cstheme="minorBidi"/>
          <w:sz w:val="22"/>
          <w:szCs w:val="22"/>
          <w:lang w:eastAsia="en-US"/>
        </w:rPr>
        <w:t>ductivos de base biológica impulsarán</w:t>
      </w:r>
      <w:r w:rsidR="002038E0" w:rsidRPr="002038E0">
        <w:rPr>
          <w:rFonts w:asciiTheme="minorHAnsi" w:eastAsiaTheme="minorHAnsi" w:hAnsiTheme="minorHAnsi" w:cstheme="minorBidi"/>
          <w:sz w:val="22"/>
          <w:szCs w:val="22"/>
          <w:lang w:eastAsia="en-US"/>
        </w:rPr>
        <w:t xml:space="preserve"> su actividad económica y manten</w:t>
      </w:r>
      <w:r w:rsidR="002038E0">
        <w:rPr>
          <w:rFonts w:asciiTheme="minorHAnsi" w:eastAsiaTheme="minorHAnsi" w:hAnsiTheme="minorHAnsi" w:cstheme="minorBidi"/>
          <w:sz w:val="22"/>
          <w:szCs w:val="22"/>
          <w:lang w:eastAsia="en-US"/>
        </w:rPr>
        <w:t>drán</w:t>
      </w:r>
      <w:r w:rsidR="002038E0" w:rsidRPr="002038E0">
        <w:rPr>
          <w:rFonts w:asciiTheme="minorHAnsi" w:eastAsiaTheme="minorHAnsi" w:hAnsiTheme="minorHAnsi" w:cstheme="minorBidi"/>
          <w:sz w:val="22"/>
          <w:szCs w:val="22"/>
          <w:lang w:eastAsia="en-US"/>
        </w:rPr>
        <w:t xml:space="preserve"> una posición competitiva, promoviendo la utilización integral de los recursos y en especial de los residuos y subproductos, al tiempo que se genera empleo de calidad en sectores menos favorecidos como el agrario y actividades de alto valor añadido en otros sectores tradicionales como el forestal. </w:t>
      </w:r>
      <w:r w:rsidR="002038E0">
        <w:rPr>
          <w:rFonts w:asciiTheme="minorHAnsi" w:eastAsiaTheme="minorHAnsi" w:hAnsiTheme="minorHAnsi" w:cstheme="minorBidi"/>
          <w:sz w:val="22"/>
          <w:szCs w:val="22"/>
          <w:lang w:eastAsia="en-US"/>
        </w:rPr>
        <w:t>De esta manera, Euskadi va a poder avanzar</w:t>
      </w:r>
      <w:r w:rsidR="002038E0" w:rsidRPr="003B406D">
        <w:rPr>
          <w:rFonts w:asciiTheme="minorHAnsi" w:eastAsiaTheme="minorHAnsi" w:hAnsiTheme="minorHAnsi" w:cstheme="minorBidi"/>
          <w:sz w:val="22"/>
          <w:szCs w:val="22"/>
          <w:lang w:eastAsia="en-US"/>
        </w:rPr>
        <w:t xml:space="preserve"> más rápidamente hacia los numerosos beneficios socioeconómicos de una sociedad post-petróleo</w:t>
      </w:r>
      <w:r w:rsidR="002038E0">
        <w:rPr>
          <w:rFonts w:asciiTheme="minorHAnsi" w:eastAsiaTheme="minorHAnsi" w:hAnsiTheme="minorHAnsi" w:cstheme="minorBidi"/>
          <w:sz w:val="22"/>
          <w:szCs w:val="22"/>
          <w:lang w:eastAsia="en-US"/>
        </w:rPr>
        <w:t>.</w:t>
      </w:r>
    </w:p>
    <w:p w14:paraId="59C01A49" w14:textId="6D8681A5" w:rsidR="00A3471D" w:rsidRDefault="008B40C9" w:rsidP="007541A9">
      <w:pPr>
        <w:pStyle w:val="Normalaweb"/>
        <w:shd w:val="clear" w:color="auto" w:fill="FFFFFF"/>
        <w:spacing w:before="120" w:after="240"/>
        <w:jc w:val="both"/>
        <w:textAlignment w:val="baseline"/>
        <w:rPr>
          <w:rFonts w:asciiTheme="minorHAnsi" w:eastAsiaTheme="minorHAnsi" w:hAnsiTheme="minorHAnsi" w:cstheme="minorBidi"/>
          <w:sz w:val="22"/>
          <w:szCs w:val="22"/>
          <w:lang w:eastAsia="en-US"/>
        </w:rPr>
      </w:pPr>
      <w:r>
        <w:rPr>
          <w:noProof/>
        </w:rPr>
        <w:drawing>
          <wp:inline distT="0" distB="0" distL="0" distR="0" wp14:anchorId="5C287B32" wp14:editId="3769F2F5">
            <wp:extent cx="5102837" cy="3276600"/>
            <wp:effectExtent l="0" t="0" r="3175" b="0"/>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0"/>
                    <pic:cNvPicPr/>
                  </pic:nvPicPr>
                  <pic:blipFill>
                    <a:blip r:embed="rId25">
                      <a:extLst>
                        <a:ext uri="{28A0092B-C50C-407E-A947-70E740481C1C}">
                          <a14:useLocalDpi xmlns:a14="http://schemas.microsoft.com/office/drawing/2010/main" val="0"/>
                        </a:ext>
                      </a:extLst>
                    </a:blip>
                    <a:stretch>
                      <a:fillRect/>
                    </a:stretch>
                  </pic:blipFill>
                  <pic:spPr>
                    <a:xfrm>
                      <a:off x="0" y="0"/>
                      <a:ext cx="5102837" cy="3276600"/>
                    </a:xfrm>
                    <a:prstGeom prst="rect">
                      <a:avLst/>
                    </a:prstGeom>
                  </pic:spPr>
                </pic:pic>
              </a:graphicData>
            </a:graphic>
          </wp:inline>
        </w:drawing>
      </w:r>
    </w:p>
    <w:p w14:paraId="773B9EB0" w14:textId="7F4B2FE3" w:rsidR="00CF1669" w:rsidRDefault="00CF1669" w:rsidP="007541A9">
      <w:pPr>
        <w:pStyle w:val="Normalaweb"/>
        <w:shd w:val="clear" w:color="auto" w:fill="FFFFFF"/>
        <w:spacing w:before="120" w:after="240"/>
        <w:jc w:val="both"/>
        <w:textAlignment w:val="baseline"/>
        <w:rPr>
          <w:rFonts w:asciiTheme="minorHAnsi" w:eastAsiaTheme="minorHAnsi" w:hAnsiTheme="minorHAnsi" w:cstheme="minorBidi"/>
          <w:sz w:val="22"/>
          <w:szCs w:val="22"/>
          <w:lang w:eastAsia="en-US"/>
        </w:rPr>
      </w:pPr>
      <w:r w:rsidRPr="00CF1669">
        <w:rPr>
          <w:rFonts w:asciiTheme="minorHAnsi" w:eastAsiaTheme="minorHAnsi" w:hAnsiTheme="minorHAnsi" w:cstheme="minorBidi"/>
          <w:noProof/>
          <w:sz w:val="22"/>
          <w:szCs w:val="22"/>
        </w:rPr>
        <w:drawing>
          <wp:inline distT="0" distB="0" distL="0" distR="0" wp14:anchorId="0279150C" wp14:editId="00901F59">
            <wp:extent cx="4640544" cy="2984146"/>
            <wp:effectExtent l="0" t="0" r="8255" b="6985"/>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174" t="-893" r="15920" b="893"/>
                    <a:stretch/>
                  </pic:blipFill>
                  <pic:spPr bwMode="auto">
                    <a:xfrm>
                      <a:off x="0" y="0"/>
                      <a:ext cx="4674426" cy="3005934"/>
                    </a:xfrm>
                    <a:prstGeom prst="rect">
                      <a:avLst/>
                    </a:prstGeom>
                    <a:ln>
                      <a:noFill/>
                    </a:ln>
                    <a:extLst>
                      <a:ext uri="{53640926-AAD7-44D8-BBD7-CCE9431645EC}">
                        <a14:shadowObscured xmlns:a14="http://schemas.microsoft.com/office/drawing/2010/main"/>
                      </a:ext>
                    </a:extLst>
                  </pic:spPr>
                </pic:pic>
              </a:graphicData>
            </a:graphic>
          </wp:inline>
        </w:drawing>
      </w:r>
    </w:p>
    <w:p w14:paraId="79A694CF" w14:textId="56449154" w:rsidR="003171FC" w:rsidRDefault="00CF1669" w:rsidP="007541A9">
      <w:pPr>
        <w:pStyle w:val="Epigrafea"/>
        <w:rPr>
          <w:b w:val="0"/>
          <w:bCs w:val="0"/>
        </w:rPr>
      </w:pPr>
      <w:bookmarkStart w:id="13" w:name="_Ref72596519"/>
      <w:bookmarkStart w:id="14" w:name="_Toc72771624"/>
      <w:r>
        <w:t xml:space="preserve">Figura </w:t>
      </w:r>
      <w:r w:rsidR="000606DB">
        <w:rPr>
          <w:noProof/>
        </w:rPr>
        <w:fldChar w:fldCharType="begin"/>
      </w:r>
      <w:r w:rsidR="000606DB">
        <w:rPr>
          <w:noProof/>
        </w:rPr>
        <w:instrText xml:space="preserve"> SEQ Figura \* ARABIC </w:instrText>
      </w:r>
      <w:r w:rsidR="000606DB">
        <w:rPr>
          <w:noProof/>
        </w:rPr>
        <w:fldChar w:fldCharType="separate"/>
      </w:r>
      <w:r w:rsidR="006C0251">
        <w:rPr>
          <w:noProof/>
        </w:rPr>
        <w:t>6</w:t>
      </w:r>
      <w:r w:rsidR="000606DB">
        <w:rPr>
          <w:noProof/>
        </w:rPr>
        <w:fldChar w:fldCharType="end"/>
      </w:r>
      <w:bookmarkEnd w:id="13"/>
      <w:r>
        <w:t>. Oportunidad de crecimiento de la Bioecono</w:t>
      </w:r>
      <w:r w:rsidR="00F5223A">
        <w:t xml:space="preserve">mía Circular para el año 2030.  </w:t>
      </w:r>
      <w:r w:rsidRPr="00F5223A">
        <w:rPr>
          <w:b w:val="0"/>
          <w:bCs w:val="0"/>
        </w:rPr>
        <w:t>Fuente: Comisión Europea;  Oxford Economics; WBCSD; análisis BCG analysis, Member companies; Basado en estimaciones aproximadas y tamaños de mercado redondeados, clasificados por potencial de sustitución en 2030</w:t>
      </w:r>
      <w:r w:rsidR="00F5223A">
        <w:rPr>
          <w:b w:val="0"/>
          <w:bCs w:val="0"/>
        </w:rPr>
        <w:t>.</w:t>
      </w:r>
      <w:bookmarkEnd w:id="14"/>
    </w:p>
    <w:p w14:paraId="6110F888" w14:textId="77777777" w:rsidR="00527CDC" w:rsidRDefault="00527CDC" w:rsidP="007541A9">
      <w:pPr>
        <w:spacing w:line="240" w:lineRule="auto"/>
        <w:jc w:val="both"/>
      </w:pPr>
    </w:p>
    <w:p w14:paraId="631B60BB" w14:textId="77777777" w:rsidR="00527CDC" w:rsidRDefault="00527CDC" w:rsidP="007541A9">
      <w:pPr>
        <w:spacing w:line="240" w:lineRule="auto"/>
        <w:jc w:val="both"/>
      </w:pPr>
    </w:p>
    <w:p w14:paraId="2C5AD248" w14:textId="77777777" w:rsidR="00527CDC" w:rsidRDefault="00527CDC" w:rsidP="007541A9">
      <w:pPr>
        <w:spacing w:line="240" w:lineRule="auto"/>
        <w:jc w:val="both"/>
      </w:pPr>
    </w:p>
    <w:p w14:paraId="20990C8E" w14:textId="77777777" w:rsidR="00527CDC" w:rsidRPr="00527CDC" w:rsidRDefault="00527CDC" w:rsidP="007541A9">
      <w:pPr>
        <w:spacing w:line="240" w:lineRule="auto"/>
        <w:jc w:val="both"/>
      </w:pPr>
    </w:p>
    <w:p w14:paraId="3073C4E1" w14:textId="62D01E67" w:rsidR="0044120D" w:rsidRPr="00134257" w:rsidRDefault="00C25777" w:rsidP="007541A9">
      <w:pPr>
        <w:pStyle w:val="1izenburua"/>
        <w:spacing w:line="240" w:lineRule="auto"/>
        <w:jc w:val="both"/>
        <w:rPr>
          <w:sz w:val="36"/>
        </w:rPr>
      </w:pPr>
      <w:bookmarkStart w:id="15" w:name="_Toc72771500"/>
      <w:r w:rsidRPr="00134257">
        <w:rPr>
          <w:sz w:val="36"/>
        </w:rPr>
        <w:t xml:space="preserve">ANEXO </w:t>
      </w:r>
      <w:r w:rsidR="00134257">
        <w:rPr>
          <w:sz w:val="36"/>
        </w:rPr>
        <w:t>5</w:t>
      </w:r>
      <w:r w:rsidRPr="00134257">
        <w:rPr>
          <w:sz w:val="36"/>
        </w:rPr>
        <w:t xml:space="preserve">. </w:t>
      </w:r>
      <w:r w:rsidR="000E1E2C" w:rsidRPr="00134257">
        <w:rPr>
          <w:sz w:val="36"/>
        </w:rPr>
        <w:t xml:space="preserve"> </w:t>
      </w:r>
      <w:r w:rsidR="00B30879" w:rsidRPr="00134257">
        <w:rPr>
          <w:sz w:val="36"/>
        </w:rPr>
        <w:t>Diagn</w:t>
      </w:r>
      <w:r w:rsidR="002535F2" w:rsidRPr="00134257">
        <w:rPr>
          <w:sz w:val="36"/>
        </w:rPr>
        <w:t>ó</w:t>
      </w:r>
      <w:r w:rsidR="00375F24" w:rsidRPr="00134257">
        <w:rPr>
          <w:sz w:val="36"/>
        </w:rPr>
        <w:t>stico</w:t>
      </w:r>
      <w:r w:rsidR="00B30879" w:rsidRPr="00134257">
        <w:rPr>
          <w:sz w:val="36"/>
        </w:rPr>
        <w:t xml:space="preserve"> actual</w:t>
      </w:r>
      <w:bookmarkEnd w:id="15"/>
      <w:r w:rsidRPr="00134257">
        <w:rPr>
          <w:sz w:val="36"/>
        </w:rPr>
        <w:t xml:space="preserve"> de la bioeconomía en Euskadi</w:t>
      </w:r>
    </w:p>
    <w:p w14:paraId="5D5911A1" w14:textId="77777777" w:rsidR="00C25777" w:rsidRPr="00C25777" w:rsidRDefault="00C25777" w:rsidP="007541A9">
      <w:pPr>
        <w:spacing w:line="240" w:lineRule="auto"/>
        <w:jc w:val="both"/>
      </w:pPr>
    </w:p>
    <w:p w14:paraId="6454B82A" w14:textId="74C83A2D" w:rsidR="0044120D" w:rsidRDefault="00B30879" w:rsidP="007541A9">
      <w:pPr>
        <w:spacing w:line="240" w:lineRule="auto"/>
        <w:jc w:val="both"/>
      </w:pPr>
      <w:r w:rsidRPr="00E84C77">
        <w:rPr>
          <w:rFonts w:asciiTheme="majorHAnsi" w:eastAsiaTheme="majorEastAsia" w:hAnsiTheme="majorHAnsi" w:cstheme="majorBidi"/>
          <w:b/>
          <w:bCs/>
          <w:color w:val="4F81BD" w:themeColor="accent1"/>
          <w:w w:val="110"/>
          <w:sz w:val="26"/>
          <w:szCs w:val="26"/>
        </w:rPr>
        <w:t>Cantidad y tipología de biomasa disponible en Euskadi</w:t>
      </w:r>
    </w:p>
    <w:p w14:paraId="212A0797" w14:textId="77777777" w:rsidR="0044120D" w:rsidRPr="00FF12F3" w:rsidRDefault="0044120D" w:rsidP="007541A9">
      <w:pPr>
        <w:spacing w:line="240" w:lineRule="auto"/>
        <w:jc w:val="both"/>
      </w:pPr>
      <w:r w:rsidRPr="00FF12F3">
        <w:t>En Euskadi la mayor parte de los recursos renovables se centran en los cultivos energéticos, que suele ir acompañado de un bajo valor añadido. La bioeconomía es una oportunidad para definir usos alternativos de los recursos ya existentes generando nuevas fuentes de ingresos para el sector primario, y además debe articularse en torno a la sostenibilidad y la circularidad, considerando aspectos de protección y conservación de la biodiversidad, el suelo, el agua y el aire. En un contexto de cambio climático, es de crucial importancia gestionar los bosques y la agricultura de manera sostenible.</w:t>
      </w:r>
    </w:p>
    <w:p w14:paraId="6471E7A5" w14:textId="563F8189" w:rsidR="0044120D" w:rsidRPr="00FF12F3" w:rsidRDefault="00EA0D76" w:rsidP="007541A9">
      <w:pPr>
        <w:spacing w:line="240" w:lineRule="auto"/>
        <w:jc w:val="both"/>
      </w:pPr>
      <w:r>
        <w:t xml:space="preserve">Una </w:t>
      </w:r>
      <w:r w:rsidR="0044120D" w:rsidRPr="00FF12F3">
        <w:t>gran fuente de biomasa potencial para ser empleada en los procesos de bioeconomía, son los subproductos y residuos generados por el sector agropecuario</w:t>
      </w:r>
      <w:bookmarkStart w:id="16" w:name="Plan_Residuos_CAPV_2020_161"/>
      <w:bookmarkEnd w:id="16"/>
      <w:r w:rsidR="0044120D" w:rsidRPr="00FF12F3">
        <w:t>. En 2006 (dato más actualizado</w:t>
      </w:r>
      <w:r w:rsidR="009C1216">
        <w:t xml:space="preserve"> “Plan de Prevención y Gestión de residuos de la CAPV 2020”</w:t>
      </w:r>
      <w:r w:rsidR="0044120D" w:rsidRPr="00FF12F3">
        <w:t>), el sector agroalimentario alcanzó una generación de 4.158.978 toneladas de materia orgánica, subproductos y residuos. Los gobiernos, como respuesta a los problemas causados por la generación de residuos, han implantado sistemas de gestión como, la recogida selectiva, el reciclaje, la valorización energética, el vertido controlado y el compostaje entre otros. Sin embargo, la fabricación de materiales más resistentes y duraderos, el aumento del consumo y el agotamiento de materias primas no han hecho más que agudizar este problema. Para abordar esta situación, es necesario plantear un cambio de modelo donde los residuos dejen de ser considerados desechos y puedan volver a incorporarse a las cadenas de valor convertidos en materias primas.</w:t>
      </w:r>
    </w:p>
    <w:p w14:paraId="00D0A333" w14:textId="0A0FE51B" w:rsidR="0044120D" w:rsidRDefault="0044120D" w:rsidP="007541A9">
      <w:pPr>
        <w:spacing w:line="240" w:lineRule="auto"/>
        <w:jc w:val="both"/>
      </w:pPr>
      <w:r w:rsidRPr="00FF12F3">
        <w:t>A este respecto, la bioeconomía circular se postula como un modelo sostenible en el cual se prioriza mantener en la economía el valor de los productos, los materiales y los recursos durante el mayor tiempo posible, reduciendo al mínimo la generación de residuos. En función de la evolución del PIB para los sectores de agricultura, ganadería y pesca, la estimación para el año 2010 en producción de residuo orgánico</w:t>
      </w:r>
      <w:r w:rsidR="00EA0D76">
        <w:t>, como ya se ha comentado,</w:t>
      </w:r>
      <w:r w:rsidRPr="00FF12F3">
        <w:t xml:space="preserve"> alcanza las 4.489.791 toneladas, </w:t>
      </w:r>
      <w:r w:rsidR="007C2761">
        <w:t>de la</w:t>
      </w:r>
      <w:r w:rsidR="00AF2752">
        <w:t>s cuales: i) el 77% lo conforman el purín, estiércol y la gallinaza; ii) el 8% la biomasa forestal; iii) el 6% la paja de los cultivos extensivos; iv) el 3% el serrín, las astillas y corteza; v) el 1% los subproductos animales no destinados al consumo humano –SANDACH-; y por último vi) el 1% los restos de poda.</w:t>
      </w:r>
    </w:p>
    <w:p w14:paraId="627D5AC1" w14:textId="051C1937" w:rsidR="00743D3E" w:rsidRDefault="00AF2752" w:rsidP="007541A9">
      <w:pPr>
        <w:spacing w:line="240" w:lineRule="auto"/>
        <w:jc w:val="both"/>
      </w:pPr>
      <w:r>
        <w:t>Si bien es importante conocer las cantidades de subp</w:t>
      </w:r>
      <w:r w:rsidR="00380790">
        <w:t xml:space="preserve">roductos y residuos disponibles, resulta de gran interés conocer la distribución de los mismos, puesto que la logística de recogida de estos subproductos </w:t>
      </w:r>
      <w:r w:rsidR="00082B64">
        <w:t>y residuos es fundamental para su aprovechamiento</w:t>
      </w:r>
      <w:r w:rsidR="00380790">
        <w:t xml:space="preserve">. </w:t>
      </w:r>
      <w:r w:rsidR="002C61E2">
        <w:t xml:space="preserve">A continuación </w:t>
      </w:r>
      <w:r w:rsidR="00743D3E" w:rsidRPr="00743D3E">
        <w:t>se representa</w:t>
      </w:r>
      <w:r w:rsidR="002C61E2">
        <w:t>n</w:t>
      </w:r>
      <w:r w:rsidR="00743D3E" w:rsidRPr="00743D3E">
        <w:t xml:space="preserve"> el número de establecimientos/explotaciones en cada municipio de </w:t>
      </w:r>
      <w:r w:rsidR="002C61E2">
        <w:t>Euskadi</w:t>
      </w:r>
      <w:r w:rsidR="00743D3E" w:rsidRPr="00743D3E">
        <w:t xml:space="preserve"> según distintas actividades. Si bien no se considera el tamaño de los establecimientos (producción, número de empleos, etc.), estas figuras pueden servir de orientación sobre la distribución geográfica que podría esperarse de los subproductos/residuos/biomasa generada por estas actividades y, desde luego, sobre el número de establecimientos/explotaciones que se ven </w:t>
      </w:r>
      <w:r w:rsidR="00743D3E" w:rsidRPr="00743D3E">
        <w:lastRenderedPageBreak/>
        <w:t>afectados por el presente plan. La complejidad logística para la gestión de la biomasa generada en estos establecimientos incrementa cuando se trata de establecimientos de pequeñ</w:t>
      </w:r>
      <w:r w:rsidR="002C61E2">
        <w:t>o tamaño y distribución amplia –atomización-</w:t>
      </w:r>
      <w:r w:rsidR="00743D3E" w:rsidRPr="00743D3E">
        <w:t>.</w:t>
      </w:r>
    </w:p>
    <w:p w14:paraId="4B3012B8" w14:textId="04D73A77" w:rsidR="00C81500" w:rsidRPr="00C81500" w:rsidRDefault="00C81500" w:rsidP="007541A9">
      <w:pPr>
        <w:pBdr>
          <w:top w:val="single" w:sz="4" w:space="1" w:color="auto"/>
          <w:left w:val="single" w:sz="4" w:space="4" w:color="auto"/>
          <w:bottom w:val="single" w:sz="4" w:space="1" w:color="auto"/>
          <w:right w:val="single" w:sz="4" w:space="4" w:color="auto"/>
        </w:pBdr>
        <w:spacing w:line="240" w:lineRule="auto"/>
        <w:jc w:val="both"/>
      </w:pPr>
      <w:r>
        <w:rPr>
          <w:noProof/>
          <w:lang w:eastAsia="es-ES"/>
        </w:rPr>
        <w:drawing>
          <wp:inline distT="0" distB="0" distL="0" distR="0" wp14:anchorId="595D2856" wp14:editId="79E013DB">
            <wp:extent cx="4318000" cy="2774950"/>
            <wp:effectExtent l="0" t="0" r="6350" b="6350"/>
            <wp:docPr id="259" name="Imagen 25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9"/>
                    <pic:cNvPicPr/>
                  </pic:nvPicPr>
                  <pic:blipFill>
                    <a:blip r:embed="rId27">
                      <a:extLst>
                        <a:ext uri="{28A0092B-C50C-407E-A947-70E740481C1C}">
                          <a14:useLocalDpi xmlns:a14="http://schemas.microsoft.com/office/drawing/2010/main" val="0"/>
                        </a:ext>
                      </a:extLst>
                    </a:blip>
                    <a:srcRect t="4990" b="4340"/>
                    <a:stretch>
                      <a:fillRect/>
                    </a:stretch>
                  </pic:blipFill>
                  <pic:spPr>
                    <a:xfrm>
                      <a:off x="0" y="0"/>
                      <a:ext cx="4318000" cy="2774950"/>
                    </a:xfrm>
                    <a:prstGeom prst="rect">
                      <a:avLst/>
                    </a:prstGeom>
                  </pic:spPr>
                </pic:pic>
              </a:graphicData>
            </a:graphic>
          </wp:inline>
        </w:drawing>
      </w:r>
    </w:p>
    <w:p w14:paraId="366FBE42" w14:textId="026768F9" w:rsidR="003D2273" w:rsidRPr="003D2273"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sidRPr="003D2273">
        <w:rPr>
          <w:b/>
          <w:sz w:val="18"/>
          <w:szCs w:val="18"/>
        </w:rPr>
        <w:t>Purín</w:t>
      </w:r>
      <w:r w:rsidRPr="003D2273">
        <w:rPr>
          <w:sz w:val="18"/>
          <w:szCs w:val="18"/>
        </w:rPr>
        <w:t xml:space="preserve">: </w:t>
      </w:r>
      <w:r w:rsidRPr="003D2273">
        <w:rPr>
          <w:b/>
          <w:sz w:val="18"/>
          <w:szCs w:val="18"/>
        </w:rPr>
        <w:t>1.847.577 Tm/año</w:t>
      </w:r>
      <w:r w:rsidRPr="003D2273">
        <w:rPr>
          <w:sz w:val="18"/>
          <w:szCs w:val="18"/>
        </w:rPr>
        <w:t xml:space="preserve"> y </w:t>
      </w:r>
      <w:r w:rsidRPr="003D2273">
        <w:rPr>
          <w:b/>
          <w:sz w:val="18"/>
          <w:szCs w:val="18"/>
        </w:rPr>
        <w:t>estiércol: 1.587.708 Tm/año –</w:t>
      </w:r>
      <w:r w:rsidRPr="003D2273">
        <w:rPr>
          <w:sz w:val="18"/>
          <w:szCs w:val="18"/>
        </w:rPr>
        <w:t xml:space="preserve"> Residuos que representan el </w:t>
      </w:r>
      <w:r w:rsidRPr="003D2273">
        <w:rPr>
          <w:b/>
          <w:sz w:val="18"/>
          <w:szCs w:val="18"/>
        </w:rPr>
        <w:t>76%</w:t>
      </w:r>
      <w:r w:rsidRPr="003D2273">
        <w:rPr>
          <w:sz w:val="18"/>
          <w:szCs w:val="18"/>
        </w:rPr>
        <w:t xml:space="preserve"> de los residuos orgánicos-</w:t>
      </w:r>
    </w:p>
    <w:p w14:paraId="77E2C2C3" w14:textId="77777777" w:rsidR="003D2273" w:rsidRPr="003D2273"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sidRPr="003D2273">
        <w:rPr>
          <w:sz w:val="18"/>
          <w:szCs w:val="18"/>
        </w:rPr>
        <w:t>En general, en las explotaciones donde se ha generado mayor cantidad de deyecciones ganaderas y de manera más intensiva, han tendido a gestionarlas en forma de purines, mientras que las han gestionado en forma de estiércoles en las de menor tamaño y más extensivas. Así, en general, es de esperar que en las explotaciones de tamaño grande, ya sean de vacuno de leche o de porcino, nos encontremos con purines (incluso en alguna de ovino de dimensiones considerables), mientras que nos encontraremos con estiércol en las de menor tamaño, ya sean de vacuno de leche, vacuno de carne, ovino, caprino, equino o cunícola.</w:t>
      </w:r>
    </w:p>
    <w:p w14:paraId="5156BC68" w14:textId="072C5764" w:rsidR="003D2273" w:rsidRPr="003D2273"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sidRPr="003D2273">
        <w:rPr>
          <w:sz w:val="18"/>
          <w:szCs w:val="18"/>
        </w:rPr>
        <w:t xml:space="preserve">La concentración municipal más destacable de explotaciones de vacuno de aptitud lechera, y por tanto de purines, se encuentra en el municipio de Karrantza. También se observa una concentración importante en la comarca de Aiaraldea y en las comarcas costeras de Gipuzkoa (Urola Kostaldea, Donostialdea, incluso en algunos municipios de Debabarrena y hacia Tolosaldea). </w:t>
      </w:r>
    </w:p>
    <w:p w14:paraId="0786CE82" w14:textId="79901657" w:rsidR="003D2273" w:rsidRPr="003D2273"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sidRPr="003D2273">
        <w:rPr>
          <w:sz w:val="18"/>
          <w:szCs w:val="18"/>
        </w:rPr>
        <w:t>Las explotaciones de ganado ovino y de bovino de carne las encontramos repartidas bastante uniformemen</w:t>
      </w:r>
      <w:r w:rsidR="002C61E2">
        <w:rPr>
          <w:sz w:val="18"/>
          <w:szCs w:val="18"/>
        </w:rPr>
        <w:t>te por el territorio de Gipuzkoa</w:t>
      </w:r>
      <w:r w:rsidRPr="003D2273">
        <w:rPr>
          <w:sz w:val="18"/>
          <w:szCs w:val="18"/>
        </w:rPr>
        <w:t xml:space="preserve">; en Bizkaia destacan en las comarcas de Enkartazioak, Arrati-Nerbioi y Duralgaldea y, en Araba, en las comarcas de Aiaraldea y Gorbeia Inguruak. </w:t>
      </w:r>
    </w:p>
    <w:p w14:paraId="59ACF3D8" w14:textId="77777777" w:rsidR="003D2273" w:rsidRPr="00E84C77"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sidRPr="003D2273">
        <w:rPr>
          <w:sz w:val="18"/>
          <w:szCs w:val="18"/>
        </w:rPr>
        <w:t>Unido a las explotaciones ovinas, también es importante considerar la lana que se genera que actualmente es un residuo. Al año se generan 1.000 Tm en Euskadi.</w:t>
      </w:r>
    </w:p>
    <w:p w14:paraId="66B2B00A"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p>
    <w:p w14:paraId="70186A5D" w14:textId="73FD6CFD" w:rsidR="00C81500" w:rsidRPr="00C81500" w:rsidRDefault="00C81500" w:rsidP="007541A9">
      <w:pPr>
        <w:pBdr>
          <w:top w:val="single" w:sz="4" w:space="1" w:color="auto"/>
          <w:left w:val="single" w:sz="4" w:space="4" w:color="auto"/>
          <w:bottom w:val="single" w:sz="4" w:space="1" w:color="auto"/>
          <w:right w:val="single" w:sz="4" w:space="4" w:color="auto"/>
        </w:pBdr>
        <w:spacing w:line="240" w:lineRule="auto"/>
        <w:jc w:val="both"/>
      </w:pPr>
      <w:r>
        <w:rPr>
          <w:noProof/>
          <w:lang w:eastAsia="es-ES"/>
        </w:rPr>
        <w:lastRenderedPageBreak/>
        <w:drawing>
          <wp:inline distT="0" distB="0" distL="0" distR="0" wp14:anchorId="65E14E72" wp14:editId="7F0B71C3">
            <wp:extent cx="4489450" cy="3175000"/>
            <wp:effectExtent l="0" t="0" r="6350" b="6350"/>
            <wp:docPr id="258" name="Imagen 25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8"/>
                    <pic:cNvPicPr/>
                  </pic:nvPicPr>
                  <pic:blipFill>
                    <a:blip r:embed="rId28">
                      <a:extLst>
                        <a:ext uri="{28A0092B-C50C-407E-A947-70E740481C1C}">
                          <a14:useLocalDpi xmlns:a14="http://schemas.microsoft.com/office/drawing/2010/main" val="0"/>
                        </a:ext>
                      </a:extLst>
                    </a:blip>
                    <a:stretch>
                      <a:fillRect/>
                    </a:stretch>
                  </pic:blipFill>
                  <pic:spPr>
                    <a:xfrm>
                      <a:off x="0" y="0"/>
                      <a:ext cx="4489450" cy="3175000"/>
                    </a:xfrm>
                    <a:prstGeom prst="rect">
                      <a:avLst/>
                    </a:prstGeom>
                  </pic:spPr>
                </pic:pic>
              </a:graphicData>
            </a:graphic>
          </wp:inline>
        </w:drawing>
      </w:r>
    </w:p>
    <w:p w14:paraId="102B27F5" w14:textId="77777777" w:rsid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sidRPr="00C81500">
        <w:rPr>
          <w:b/>
          <w:sz w:val="18"/>
          <w:szCs w:val="18"/>
        </w:rPr>
        <w:t xml:space="preserve">Gallinaza: 97.483 Tm/año (2%): </w:t>
      </w:r>
      <w:r w:rsidRPr="00C81500">
        <w:rPr>
          <w:sz w:val="18"/>
          <w:szCs w:val="18"/>
        </w:rPr>
        <w:t>Las explotaciones avícolas están repartidas por los territorios de Gipuzkoa y Bizkaia. En Gipuzkoa principalmente se encuentran en la zona de Goierri, Tolosaldea y Urola Kosta. En Bizkaia las mayores concentraciones se dan en Uribe Kosta y Durangaldea. En Araba en Salvatierra y en el valle de Añana.</w:t>
      </w:r>
    </w:p>
    <w:p w14:paraId="27A4D7EC" w14:textId="77777777" w:rsidR="003D2273"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Pr>
          <w:sz w:val="18"/>
          <w:szCs w:val="18"/>
        </w:rPr>
        <w:t xml:space="preserve">Hay que subrayar que a la hora de estimar la cantidad de deyecciones generadas y el excedente resultante de las mismas, es importante la relación entre la cantidad de deyecciones generada en una explotación y la disponibilidad de superficie para su distribución. Esto es así, tanto para bovino, ovino, caprino y equino como para las aves y el porcino. De manera que en las explotaciones más extensivas – generalmente, las de ovino o las de bovino de carne suelen ser más extensivas que las de vacuno de leche – es posible que las deyecciones generadas puedan ser distribuidas en la superficie disponible por la explotación sin dar lugar a excendentes. En cuanto a las aves de puesta y las explotaciones de porcino, podría ocurrir que la mayor parte de las deyecciones excedentarias de este tipo de explotaciones se encuentre localizada en unas pocas explotaciones que no disponen de superficie. </w:t>
      </w:r>
    </w:p>
    <w:p w14:paraId="59803CAE" w14:textId="77777777" w:rsidR="003D2273" w:rsidRPr="00C81500"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p>
    <w:p w14:paraId="62A89BEC" w14:textId="77777777" w:rsidR="00C81500" w:rsidRDefault="00C81500" w:rsidP="007541A9">
      <w:pPr>
        <w:spacing w:after="0" w:line="240" w:lineRule="auto"/>
        <w:jc w:val="both"/>
        <w:rPr>
          <w:sz w:val="18"/>
          <w:szCs w:val="18"/>
        </w:rPr>
      </w:pPr>
    </w:p>
    <w:p w14:paraId="79FC441C" w14:textId="77777777" w:rsidR="003D2273" w:rsidRDefault="003D2273" w:rsidP="007541A9">
      <w:pPr>
        <w:spacing w:after="0" w:line="240" w:lineRule="auto"/>
        <w:jc w:val="both"/>
        <w:rPr>
          <w:sz w:val="18"/>
          <w:szCs w:val="18"/>
        </w:rPr>
      </w:pPr>
    </w:p>
    <w:p w14:paraId="5DCDDC08" w14:textId="77777777" w:rsidR="003D2273" w:rsidRDefault="003D2273" w:rsidP="007541A9">
      <w:pPr>
        <w:spacing w:after="0" w:line="240" w:lineRule="auto"/>
        <w:jc w:val="both"/>
        <w:rPr>
          <w:sz w:val="18"/>
          <w:szCs w:val="18"/>
        </w:rPr>
      </w:pPr>
    </w:p>
    <w:p w14:paraId="3D7F1478" w14:textId="77777777" w:rsidR="003D2273" w:rsidRDefault="003D2273" w:rsidP="007541A9">
      <w:pPr>
        <w:spacing w:after="0" w:line="240" w:lineRule="auto"/>
        <w:jc w:val="both"/>
        <w:rPr>
          <w:sz w:val="18"/>
          <w:szCs w:val="18"/>
        </w:rPr>
      </w:pPr>
    </w:p>
    <w:p w14:paraId="4F411935" w14:textId="77777777" w:rsidR="003D2273" w:rsidRDefault="003D2273" w:rsidP="007541A9">
      <w:pPr>
        <w:spacing w:after="0" w:line="240" w:lineRule="auto"/>
        <w:jc w:val="both"/>
        <w:rPr>
          <w:sz w:val="18"/>
          <w:szCs w:val="18"/>
        </w:rPr>
      </w:pPr>
    </w:p>
    <w:p w14:paraId="0F70E963" w14:textId="77777777" w:rsidR="003D2273" w:rsidRPr="00C81500" w:rsidRDefault="003D2273" w:rsidP="007541A9">
      <w:pPr>
        <w:spacing w:after="0" w:line="240" w:lineRule="auto"/>
        <w:jc w:val="both"/>
        <w:rPr>
          <w:sz w:val="18"/>
          <w:szCs w:val="18"/>
        </w:rPr>
      </w:pPr>
    </w:p>
    <w:p w14:paraId="7972963B" w14:textId="2F920015" w:rsidR="00C81500" w:rsidRPr="00C81500" w:rsidRDefault="00C81500" w:rsidP="007541A9">
      <w:pPr>
        <w:pBdr>
          <w:top w:val="single" w:sz="4" w:space="1" w:color="auto"/>
          <w:left w:val="single" w:sz="4" w:space="4" w:color="auto"/>
          <w:bottom w:val="single" w:sz="4" w:space="1" w:color="auto"/>
          <w:right w:val="single" w:sz="4" w:space="4" w:color="auto"/>
        </w:pBdr>
        <w:spacing w:line="240" w:lineRule="auto"/>
        <w:jc w:val="both"/>
      </w:pPr>
      <w:r>
        <w:rPr>
          <w:noProof/>
          <w:lang w:eastAsia="es-ES"/>
        </w:rPr>
        <w:lastRenderedPageBreak/>
        <w:drawing>
          <wp:inline distT="0" distB="0" distL="0" distR="0" wp14:anchorId="0F8B5823" wp14:editId="1F8ED8AD">
            <wp:extent cx="4819652" cy="3232150"/>
            <wp:effectExtent l="0" t="0" r="0" b="6350"/>
            <wp:docPr id="257" name="Imagen 25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7"/>
                    <pic:cNvPicPr/>
                  </pic:nvPicPr>
                  <pic:blipFill>
                    <a:blip r:embed="rId29">
                      <a:extLst>
                        <a:ext uri="{28A0092B-C50C-407E-A947-70E740481C1C}">
                          <a14:useLocalDpi xmlns:a14="http://schemas.microsoft.com/office/drawing/2010/main" val="0"/>
                        </a:ext>
                      </a:extLst>
                    </a:blip>
                    <a:srcRect t="5310"/>
                    <a:stretch>
                      <a:fillRect/>
                    </a:stretch>
                  </pic:blipFill>
                  <pic:spPr>
                    <a:xfrm>
                      <a:off x="0" y="0"/>
                      <a:ext cx="4819652" cy="3232150"/>
                    </a:xfrm>
                    <a:prstGeom prst="rect">
                      <a:avLst/>
                    </a:prstGeom>
                  </pic:spPr>
                </pic:pic>
              </a:graphicData>
            </a:graphic>
          </wp:inline>
        </w:drawing>
      </w:r>
    </w:p>
    <w:p w14:paraId="3BFA4C0C" w14:textId="6A5C7E2A" w:rsidR="00C81500" w:rsidRPr="00C81500" w:rsidRDefault="00C81500" w:rsidP="007541A9">
      <w:pPr>
        <w:pBdr>
          <w:top w:val="single" w:sz="4" w:space="1" w:color="auto"/>
          <w:left w:val="single" w:sz="4" w:space="4" w:color="auto"/>
          <w:bottom w:val="single" w:sz="4" w:space="1" w:color="auto"/>
          <w:right w:val="single" w:sz="4" w:space="4" w:color="auto"/>
        </w:pBdr>
        <w:spacing w:line="240" w:lineRule="auto"/>
        <w:jc w:val="both"/>
      </w:pPr>
      <w:r>
        <w:rPr>
          <w:noProof/>
          <w:lang w:eastAsia="es-ES"/>
        </w:rPr>
        <w:drawing>
          <wp:inline distT="0" distB="0" distL="0" distR="0" wp14:anchorId="6FC0FFB1" wp14:editId="13996C6F">
            <wp:extent cx="5010148" cy="3543300"/>
            <wp:effectExtent l="0" t="0" r="0" b="0"/>
            <wp:docPr id="256" name="Imagen 25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pic:cNvPicPr/>
                  </pic:nvPicPr>
                  <pic:blipFill>
                    <a:blip r:embed="rId30">
                      <a:extLst>
                        <a:ext uri="{28A0092B-C50C-407E-A947-70E740481C1C}">
                          <a14:useLocalDpi xmlns:a14="http://schemas.microsoft.com/office/drawing/2010/main" val="0"/>
                        </a:ext>
                      </a:extLst>
                    </a:blip>
                    <a:stretch>
                      <a:fillRect/>
                    </a:stretch>
                  </pic:blipFill>
                  <pic:spPr>
                    <a:xfrm>
                      <a:off x="0" y="0"/>
                      <a:ext cx="5010148" cy="3543300"/>
                    </a:xfrm>
                    <a:prstGeom prst="rect">
                      <a:avLst/>
                    </a:prstGeom>
                  </pic:spPr>
                </pic:pic>
              </a:graphicData>
            </a:graphic>
          </wp:inline>
        </w:drawing>
      </w:r>
    </w:p>
    <w:p w14:paraId="0C443085"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sidRPr="00C81500">
        <w:rPr>
          <w:b/>
          <w:sz w:val="18"/>
          <w:szCs w:val="18"/>
        </w:rPr>
        <w:t>Biomasa forestal: 379.748 Tm/año (8%) y serrín, astilla y corteza: 134.680 Tm/año (3%)</w:t>
      </w:r>
    </w:p>
    <w:p w14:paraId="036A9E3C" w14:textId="77777777" w:rsidR="003D2273" w:rsidRPr="00771865"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sidRPr="003D2273">
        <w:rPr>
          <w:sz w:val="18"/>
          <w:szCs w:val="18"/>
        </w:rPr>
        <w:t>La mayor actividad silvícola y de actividades derivadas (pasta, madera, etc.) la encontramos en la vertiente atlántica de la CAE: en el territorio de Bizkaia, en las comarcas de Arrati-Nerbioi, Durangaldea y Gran Bilbao; en Gipuzkoa, por las comarcas de Urola Kostaldea, Bidasoa Beherea, Donostiaaldea y Tolosaldea. En estas tres últimas comarcas se concentra, en particular, mucha industria pastero-papelera.</w:t>
      </w:r>
    </w:p>
    <w:p w14:paraId="166F8FB9" w14:textId="77777777" w:rsidR="00C81500" w:rsidRPr="00C81500" w:rsidRDefault="00C81500" w:rsidP="007541A9">
      <w:pPr>
        <w:spacing w:line="240" w:lineRule="auto"/>
        <w:jc w:val="both"/>
        <w:rPr>
          <w:sz w:val="18"/>
          <w:szCs w:val="18"/>
        </w:rPr>
      </w:pPr>
    </w:p>
    <w:p w14:paraId="50E96EBE" w14:textId="77777777" w:rsidR="00C81500" w:rsidRPr="00C81500" w:rsidRDefault="00C81500" w:rsidP="007541A9">
      <w:pPr>
        <w:spacing w:line="240" w:lineRule="auto"/>
        <w:jc w:val="both"/>
        <w:rPr>
          <w:sz w:val="18"/>
          <w:szCs w:val="18"/>
        </w:rPr>
      </w:pPr>
    </w:p>
    <w:p w14:paraId="264A5441" w14:textId="77777777" w:rsidR="00C81500" w:rsidRPr="00C81500" w:rsidRDefault="00C81500" w:rsidP="007541A9">
      <w:pPr>
        <w:spacing w:line="240" w:lineRule="auto"/>
        <w:jc w:val="both"/>
        <w:rPr>
          <w:sz w:val="18"/>
          <w:szCs w:val="18"/>
        </w:rPr>
      </w:pPr>
    </w:p>
    <w:p w14:paraId="0C8F044E" w14:textId="462FB997" w:rsidR="00C81500" w:rsidRPr="00C81500" w:rsidRDefault="00C81500" w:rsidP="007541A9">
      <w:pPr>
        <w:pBdr>
          <w:top w:val="single" w:sz="4" w:space="1" w:color="auto"/>
          <w:left w:val="single" w:sz="4" w:space="4" w:color="auto"/>
          <w:bottom w:val="single" w:sz="4" w:space="1" w:color="auto"/>
          <w:right w:val="single" w:sz="4" w:space="4" w:color="auto"/>
        </w:pBdr>
        <w:spacing w:line="240" w:lineRule="auto"/>
        <w:jc w:val="both"/>
        <w:rPr>
          <w:sz w:val="18"/>
          <w:szCs w:val="18"/>
        </w:rPr>
      </w:pPr>
      <w:r>
        <w:rPr>
          <w:noProof/>
          <w:lang w:eastAsia="es-ES"/>
        </w:rPr>
        <w:lastRenderedPageBreak/>
        <w:drawing>
          <wp:inline distT="0" distB="0" distL="0" distR="0" wp14:anchorId="5A1E265B" wp14:editId="5BB0CD36">
            <wp:extent cx="4565650" cy="3289300"/>
            <wp:effectExtent l="0" t="0" r="6350" b="6350"/>
            <wp:docPr id="31" name="Imagen 3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1">
                      <a:extLst>
                        <a:ext uri="{28A0092B-C50C-407E-A947-70E740481C1C}">
                          <a14:useLocalDpi xmlns:a14="http://schemas.microsoft.com/office/drawing/2010/main" val="0"/>
                        </a:ext>
                      </a:extLst>
                    </a:blip>
                    <a:srcRect t="4254"/>
                    <a:stretch>
                      <a:fillRect/>
                    </a:stretch>
                  </pic:blipFill>
                  <pic:spPr>
                    <a:xfrm>
                      <a:off x="0" y="0"/>
                      <a:ext cx="4565650" cy="3289300"/>
                    </a:xfrm>
                    <a:prstGeom prst="rect">
                      <a:avLst/>
                    </a:prstGeom>
                  </pic:spPr>
                </pic:pic>
              </a:graphicData>
            </a:graphic>
          </wp:inline>
        </w:drawing>
      </w:r>
    </w:p>
    <w:p w14:paraId="65A4CAC6"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sidRPr="00C81500">
        <w:rPr>
          <w:b/>
          <w:sz w:val="18"/>
          <w:szCs w:val="18"/>
        </w:rPr>
        <w:t>Subproductos agrarios:</w:t>
      </w:r>
    </w:p>
    <w:p w14:paraId="7E03EEBC"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sidRPr="00C81500">
        <w:rPr>
          <w:b/>
          <w:sz w:val="18"/>
          <w:szCs w:val="18"/>
        </w:rPr>
        <w:t>Paja: 262.161 Tm/año (6%)</w:t>
      </w:r>
    </w:p>
    <w:p w14:paraId="77EA9635"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sidRPr="00C81500">
        <w:rPr>
          <w:b/>
          <w:sz w:val="18"/>
          <w:szCs w:val="18"/>
        </w:rPr>
        <w:t>Poda: 51.080 Tm/año (1%)</w:t>
      </w:r>
    </w:p>
    <w:p w14:paraId="7D916F74"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sidRPr="00C81500">
        <w:rPr>
          <w:b/>
          <w:sz w:val="18"/>
          <w:szCs w:val="18"/>
        </w:rPr>
        <w:t>Orujos de uva: 29.657 Tm/año (1%)</w:t>
      </w:r>
    </w:p>
    <w:p w14:paraId="4F6DAD40"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sidRPr="00C81500">
        <w:rPr>
          <w:b/>
          <w:sz w:val="18"/>
          <w:szCs w:val="18"/>
        </w:rPr>
        <w:t>Restos de semillas oleaginosas 692 Tm/año (1%)</w:t>
      </w:r>
    </w:p>
    <w:p w14:paraId="2B19C36F" w14:textId="77777777" w:rsidR="003D2273" w:rsidRPr="00771865" w:rsidRDefault="003D2273"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Pr>
          <w:sz w:val="18"/>
          <w:szCs w:val="18"/>
        </w:rPr>
        <w:t>En la vertiente norte de la CAE predominan las explotaciones agrícolas relacionadas con la horticultura. Mientras que en la vertiente sur predominan los cultivos extensivos y el viñedo. Por tanto, cabe esperar mayo</w:t>
      </w:r>
      <w:r w:rsidRPr="00771865">
        <w:rPr>
          <w:sz w:val="18"/>
          <w:szCs w:val="18"/>
        </w:rPr>
        <w:t xml:space="preserve"> disponibilidad de paja y </w:t>
      </w:r>
      <w:r>
        <w:rPr>
          <w:sz w:val="18"/>
          <w:szCs w:val="18"/>
        </w:rPr>
        <w:t xml:space="preserve">restos de </w:t>
      </w:r>
      <w:r w:rsidRPr="00771865">
        <w:rPr>
          <w:sz w:val="18"/>
          <w:szCs w:val="18"/>
        </w:rPr>
        <w:t xml:space="preserve">poda principalmente en Araba, por la extensión de cereal </w:t>
      </w:r>
      <w:r>
        <w:rPr>
          <w:sz w:val="18"/>
          <w:szCs w:val="18"/>
        </w:rPr>
        <w:t xml:space="preserve">(Arabako Lautada, Arabako Ibarrak) </w:t>
      </w:r>
      <w:r w:rsidRPr="00771865">
        <w:rPr>
          <w:sz w:val="18"/>
          <w:szCs w:val="18"/>
        </w:rPr>
        <w:t>y viña</w:t>
      </w:r>
      <w:r>
        <w:rPr>
          <w:sz w:val="18"/>
          <w:szCs w:val="18"/>
        </w:rPr>
        <w:t xml:space="preserve"> (Errioxa Arabarra)</w:t>
      </w:r>
      <w:r w:rsidRPr="00771865">
        <w:rPr>
          <w:sz w:val="18"/>
          <w:szCs w:val="18"/>
        </w:rPr>
        <w:t>.</w:t>
      </w:r>
      <w:r>
        <w:rPr>
          <w:sz w:val="18"/>
          <w:szCs w:val="18"/>
        </w:rPr>
        <w:t xml:space="preserve"> </w:t>
      </w:r>
    </w:p>
    <w:p w14:paraId="30D01AA6" w14:textId="607A4ECC" w:rsidR="00C81500" w:rsidRPr="00C81500" w:rsidRDefault="00C81500" w:rsidP="007541A9">
      <w:pPr>
        <w:pBdr>
          <w:top w:val="single" w:sz="4" w:space="1" w:color="auto"/>
          <w:left w:val="single" w:sz="4" w:space="4" w:color="auto"/>
          <w:bottom w:val="single" w:sz="4" w:space="1" w:color="auto"/>
          <w:right w:val="single" w:sz="4" w:space="4" w:color="auto"/>
        </w:pBdr>
        <w:spacing w:line="240" w:lineRule="auto"/>
        <w:jc w:val="both"/>
        <w:rPr>
          <w:sz w:val="18"/>
          <w:szCs w:val="18"/>
        </w:rPr>
      </w:pPr>
      <w:r>
        <w:rPr>
          <w:noProof/>
          <w:lang w:eastAsia="es-ES"/>
        </w:rPr>
        <w:drawing>
          <wp:inline distT="0" distB="0" distL="0" distR="0" wp14:anchorId="51B2510A" wp14:editId="54B4D69B">
            <wp:extent cx="4641851" cy="3289300"/>
            <wp:effectExtent l="0" t="0" r="6350" b="6350"/>
            <wp:docPr id="30" name="Imagen 3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2">
                      <a:extLst>
                        <a:ext uri="{28A0092B-C50C-407E-A947-70E740481C1C}">
                          <a14:useLocalDpi xmlns:a14="http://schemas.microsoft.com/office/drawing/2010/main" val="0"/>
                        </a:ext>
                      </a:extLst>
                    </a:blip>
                    <a:stretch>
                      <a:fillRect/>
                    </a:stretch>
                  </pic:blipFill>
                  <pic:spPr>
                    <a:xfrm>
                      <a:off x="0" y="0"/>
                      <a:ext cx="4641851" cy="3289300"/>
                    </a:xfrm>
                    <a:prstGeom prst="rect">
                      <a:avLst/>
                    </a:prstGeom>
                  </pic:spPr>
                </pic:pic>
              </a:graphicData>
            </a:graphic>
          </wp:inline>
        </w:drawing>
      </w:r>
    </w:p>
    <w:p w14:paraId="3A9B1A50" w14:textId="77777777"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b/>
          <w:sz w:val="18"/>
          <w:szCs w:val="18"/>
        </w:rPr>
      </w:pPr>
      <w:r w:rsidRPr="00C81500">
        <w:rPr>
          <w:b/>
          <w:sz w:val="18"/>
          <w:szCs w:val="18"/>
        </w:rPr>
        <w:t xml:space="preserve">Restos de pescado: 16.798 Tm (0,37%) </w:t>
      </w:r>
    </w:p>
    <w:p w14:paraId="6B4D37E4" w14:textId="58AFFDFA" w:rsidR="00C81500" w:rsidRPr="00C81500" w:rsidRDefault="00C81500" w:rsidP="007541A9">
      <w:pPr>
        <w:pBdr>
          <w:top w:val="single" w:sz="4" w:space="1" w:color="auto"/>
          <w:left w:val="single" w:sz="4" w:space="4" w:color="auto"/>
          <w:bottom w:val="single" w:sz="4" w:space="1" w:color="auto"/>
          <w:right w:val="single" w:sz="4" w:space="4" w:color="auto"/>
        </w:pBdr>
        <w:spacing w:after="0" w:line="240" w:lineRule="auto"/>
        <w:jc w:val="both"/>
        <w:rPr>
          <w:sz w:val="18"/>
          <w:szCs w:val="18"/>
        </w:rPr>
      </w:pPr>
      <w:r w:rsidRPr="00C81500">
        <w:rPr>
          <w:sz w:val="18"/>
          <w:szCs w:val="18"/>
        </w:rPr>
        <w:t>Este subproducto lo</w:t>
      </w:r>
      <w:r w:rsidR="008153F6">
        <w:rPr>
          <w:sz w:val="18"/>
          <w:szCs w:val="18"/>
        </w:rPr>
        <w:t>s</w:t>
      </w:r>
      <w:r w:rsidRPr="00C81500">
        <w:rPr>
          <w:sz w:val="18"/>
          <w:szCs w:val="18"/>
        </w:rPr>
        <w:t xml:space="preserve"> encontramos principalmente en Bermeo, Ondarroa, Urola Kosta y Donostialdea.</w:t>
      </w:r>
    </w:p>
    <w:p w14:paraId="0C6614F3" w14:textId="77777777" w:rsidR="00C81500" w:rsidRPr="00C81500" w:rsidRDefault="00C81500" w:rsidP="007541A9">
      <w:pPr>
        <w:spacing w:line="240" w:lineRule="auto"/>
        <w:jc w:val="both"/>
        <w:rPr>
          <w:b/>
        </w:rPr>
      </w:pPr>
    </w:p>
    <w:p w14:paraId="433E7024" w14:textId="77777777" w:rsidR="00C81500" w:rsidRPr="00C81500" w:rsidRDefault="00C81500" w:rsidP="007541A9">
      <w:pPr>
        <w:spacing w:line="240" w:lineRule="auto"/>
        <w:jc w:val="both"/>
        <w:rPr>
          <w:b/>
        </w:rPr>
      </w:pPr>
    </w:p>
    <w:p w14:paraId="4D60E1F4" w14:textId="77777777" w:rsidR="00C81500" w:rsidRPr="00C81500" w:rsidRDefault="00C81500" w:rsidP="007541A9">
      <w:pPr>
        <w:pBdr>
          <w:top w:val="single" w:sz="4" w:space="1" w:color="auto"/>
          <w:left w:val="single" w:sz="4" w:space="4" w:color="auto"/>
          <w:bottom w:val="single" w:sz="4" w:space="0" w:color="auto"/>
          <w:right w:val="single" w:sz="4" w:space="4" w:color="auto"/>
        </w:pBdr>
        <w:spacing w:line="240" w:lineRule="auto"/>
        <w:jc w:val="both"/>
        <w:rPr>
          <w:b/>
        </w:rPr>
      </w:pPr>
    </w:p>
    <w:p w14:paraId="18C9356B" w14:textId="4700D601" w:rsidR="00C81500" w:rsidRPr="00C81500" w:rsidRDefault="00C81500" w:rsidP="007541A9">
      <w:pPr>
        <w:pBdr>
          <w:top w:val="single" w:sz="4" w:space="1" w:color="auto"/>
          <w:left w:val="single" w:sz="4" w:space="4" w:color="auto"/>
          <w:bottom w:val="single" w:sz="4" w:space="0" w:color="auto"/>
          <w:right w:val="single" w:sz="4" w:space="4" w:color="auto"/>
        </w:pBdr>
        <w:spacing w:line="240" w:lineRule="auto"/>
        <w:jc w:val="both"/>
        <w:rPr>
          <w:b/>
        </w:rPr>
      </w:pPr>
      <w:r>
        <w:rPr>
          <w:noProof/>
          <w:lang w:eastAsia="es-ES"/>
        </w:rPr>
        <w:drawing>
          <wp:inline distT="0" distB="0" distL="0" distR="0" wp14:anchorId="40DBE09F" wp14:editId="70C5C221">
            <wp:extent cx="4641851" cy="3289300"/>
            <wp:effectExtent l="0" t="0" r="6350" b="6350"/>
            <wp:docPr id="29" name="Imagen 2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3">
                      <a:extLst>
                        <a:ext uri="{28A0092B-C50C-407E-A947-70E740481C1C}">
                          <a14:useLocalDpi xmlns:a14="http://schemas.microsoft.com/office/drawing/2010/main" val="0"/>
                        </a:ext>
                      </a:extLst>
                    </a:blip>
                    <a:stretch>
                      <a:fillRect/>
                    </a:stretch>
                  </pic:blipFill>
                  <pic:spPr>
                    <a:xfrm>
                      <a:off x="0" y="0"/>
                      <a:ext cx="4641851" cy="3289300"/>
                    </a:xfrm>
                    <a:prstGeom prst="rect">
                      <a:avLst/>
                    </a:prstGeom>
                  </pic:spPr>
                </pic:pic>
              </a:graphicData>
            </a:graphic>
          </wp:inline>
        </w:drawing>
      </w:r>
    </w:p>
    <w:p w14:paraId="7A13134C" w14:textId="77777777" w:rsidR="00C81500" w:rsidRDefault="00C81500" w:rsidP="007541A9">
      <w:pPr>
        <w:pBdr>
          <w:top w:val="single" w:sz="4" w:space="1" w:color="auto"/>
          <w:left w:val="single" w:sz="4" w:space="4" w:color="auto"/>
          <w:bottom w:val="single" w:sz="4" w:space="0" w:color="auto"/>
          <w:right w:val="single" w:sz="4" w:space="4" w:color="auto"/>
        </w:pBdr>
        <w:spacing w:after="0" w:line="240" w:lineRule="auto"/>
        <w:jc w:val="both"/>
        <w:rPr>
          <w:b/>
          <w:sz w:val="18"/>
          <w:szCs w:val="18"/>
        </w:rPr>
      </w:pPr>
      <w:r w:rsidRPr="00C81500">
        <w:rPr>
          <w:b/>
          <w:sz w:val="18"/>
          <w:szCs w:val="18"/>
        </w:rPr>
        <w:t>Lactosuero: 3.197 Tm (0,07%):</w:t>
      </w:r>
    </w:p>
    <w:p w14:paraId="0CF7462B" w14:textId="7BE9B358" w:rsidR="003D2273" w:rsidRDefault="003D2273" w:rsidP="007541A9">
      <w:pPr>
        <w:pBdr>
          <w:top w:val="single" w:sz="4" w:space="1" w:color="auto"/>
          <w:left w:val="single" w:sz="4" w:space="4" w:color="auto"/>
          <w:bottom w:val="single" w:sz="4" w:space="0" w:color="auto"/>
          <w:right w:val="single" w:sz="4" w:space="4" w:color="auto"/>
        </w:pBdr>
        <w:spacing w:after="0" w:line="240" w:lineRule="auto"/>
        <w:jc w:val="both"/>
        <w:rPr>
          <w:b/>
          <w:sz w:val="18"/>
          <w:szCs w:val="18"/>
        </w:rPr>
      </w:pPr>
      <w:r w:rsidRPr="003D2273">
        <w:rPr>
          <w:sz w:val="18"/>
          <w:szCs w:val="18"/>
        </w:rPr>
        <w:t>Cabría esperar cantidades considerables de lactosuero y de productos derivados de la leche, allí donde se encuentran más establecimientos dedicados a la elaboración de quesos, a la preparación de leche y sus derivados y a la elaboración de helados</w:t>
      </w:r>
      <w:r>
        <w:rPr>
          <w:sz w:val="18"/>
          <w:szCs w:val="18"/>
        </w:rPr>
        <w:t>.</w:t>
      </w:r>
      <w:r w:rsidRPr="003D2273">
        <w:rPr>
          <w:sz w:val="18"/>
          <w:szCs w:val="18"/>
        </w:rPr>
        <w:t xml:space="preserve"> Se observa que los establecimientos dedicados a la elaboración de quesos y a la preparación de leche se encuentran principalmente repartidos por todo el territorio de Gipuzkoa, en Araba en la zona de Salvatierra, Gorbeia Inguruak y Aiaraldea y, en Bizkaia, en una concentración más grande en el municipio de Karrantza y en comarcas como Arrati-Nerbioi o Durangaldea</w:t>
      </w:r>
    </w:p>
    <w:p w14:paraId="3A6A724A" w14:textId="77777777" w:rsidR="003D2273" w:rsidRDefault="003D2273" w:rsidP="007541A9">
      <w:pPr>
        <w:pBdr>
          <w:top w:val="single" w:sz="4" w:space="1" w:color="auto"/>
          <w:left w:val="single" w:sz="4" w:space="4" w:color="auto"/>
          <w:bottom w:val="single" w:sz="4" w:space="0" w:color="auto"/>
          <w:right w:val="single" w:sz="4" w:space="4" w:color="auto"/>
        </w:pBdr>
        <w:spacing w:after="0" w:line="240" w:lineRule="auto"/>
        <w:jc w:val="both"/>
        <w:rPr>
          <w:b/>
          <w:sz w:val="18"/>
          <w:szCs w:val="18"/>
        </w:rPr>
      </w:pPr>
    </w:p>
    <w:p w14:paraId="64882179" w14:textId="77777777" w:rsidR="003D2273" w:rsidRPr="00C81500" w:rsidRDefault="003D2273" w:rsidP="007541A9">
      <w:pPr>
        <w:pBdr>
          <w:top w:val="single" w:sz="4" w:space="1" w:color="auto"/>
          <w:left w:val="single" w:sz="4" w:space="4" w:color="auto"/>
          <w:bottom w:val="single" w:sz="4" w:space="0" w:color="auto"/>
          <w:right w:val="single" w:sz="4" w:space="4" w:color="auto"/>
        </w:pBdr>
        <w:spacing w:after="0" w:line="240" w:lineRule="auto"/>
        <w:jc w:val="both"/>
        <w:rPr>
          <w:b/>
          <w:sz w:val="18"/>
          <w:szCs w:val="18"/>
        </w:rPr>
      </w:pPr>
    </w:p>
    <w:p w14:paraId="2CC65ECB" w14:textId="77777777" w:rsidR="00C81500" w:rsidRPr="00C81500" w:rsidRDefault="00C81500" w:rsidP="007541A9">
      <w:pPr>
        <w:spacing w:line="240" w:lineRule="auto"/>
        <w:jc w:val="both"/>
      </w:pPr>
    </w:p>
    <w:p w14:paraId="727981F6" w14:textId="77777777" w:rsidR="00C81500" w:rsidRPr="00C81500" w:rsidRDefault="00C81500" w:rsidP="007541A9">
      <w:pPr>
        <w:spacing w:line="240" w:lineRule="auto"/>
        <w:jc w:val="both"/>
      </w:pPr>
      <w:r w:rsidRPr="00C81500">
        <w:t>Además de esta fuente de biomasa, es fundamental realizar un primer análisis acerca de la disponibilidad de recursos biológicos que puede ser la base de nuestra bioeconomía. Se ha realizado un diagnóstico de los recursos forestales, agrícolas, ganaderos, pesqueros y del conjunto de la cadena de valor agroalimentaria y forestal con el objetivo de obtener una primera imagen de las características del sector.</w:t>
      </w:r>
    </w:p>
    <w:p w14:paraId="09A481F7" w14:textId="24B01E8E" w:rsidR="0044120D" w:rsidRPr="00380790" w:rsidRDefault="0044120D" w:rsidP="007541A9">
      <w:pPr>
        <w:spacing w:line="240" w:lineRule="auto"/>
        <w:jc w:val="both"/>
      </w:pPr>
      <w:r w:rsidRPr="00C81500">
        <w:t>Respecto a la superficie forestal arbolada, en</w:t>
      </w:r>
      <w:r w:rsidRPr="00380790">
        <w:t xml:space="preserve"> Euskadi supone un 54%, siendo un 42% de la misma de propiedad pública. La distribución de frondosas por territorio, Montaña Alavesa, Llanada Alavesa, Estribaciones del Gorbea y Valles Alaveses, es del </w:t>
      </w:r>
      <w:r w:rsidR="006C7792">
        <w:t>15%, 12%, 8% y 8</w:t>
      </w:r>
      <w:r w:rsidRPr="00380790">
        <w:t xml:space="preserve">% respectivamente. Destacan sobre todo </w:t>
      </w:r>
      <w:r w:rsidR="00CE54DF">
        <w:t xml:space="preserve">las especies </w:t>
      </w:r>
      <w:r w:rsidRPr="00010041">
        <w:rPr>
          <w:i/>
          <w:iCs/>
        </w:rPr>
        <w:t>Pinus radiata</w:t>
      </w:r>
      <w:r w:rsidRPr="00380790">
        <w:t xml:space="preserve"> y </w:t>
      </w:r>
      <w:r w:rsidRPr="00010041">
        <w:rPr>
          <w:i/>
          <w:iCs/>
        </w:rPr>
        <w:t>Eucaliptus spp</w:t>
      </w:r>
      <w:r w:rsidRPr="00380790">
        <w:t>. El primero, con 117.582 ha en la CAPV, constituye la especie principal entr</w:t>
      </w:r>
      <w:r w:rsidR="006C7792">
        <w:t>e las coníferas de la CAPV (66% de las coníferas totales y 30</w:t>
      </w:r>
      <w:r w:rsidRPr="00380790">
        <w:t xml:space="preserve">% de la superficie forestal de la CAPV). Las plantaciones de eucaliptos (18.750 ha en la CAPV) son un </w:t>
      </w:r>
      <w:r w:rsidR="006C7792">
        <w:t>9</w:t>
      </w:r>
      <w:r w:rsidRPr="00380790">
        <w:t>% del to</w:t>
      </w:r>
      <w:r w:rsidR="006C7792">
        <w:t>tal de las frondosas y 5</w:t>
      </w:r>
      <w:r w:rsidRPr="00380790">
        <w:t>% de la superficie forestal.</w:t>
      </w:r>
    </w:p>
    <w:p w14:paraId="071AA3DF" w14:textId="77777777" w:rsidR="0044120D" w:rsidRPr="00380790" w:rsidRDefault="0044120D" w:rsidP="007541A9">
      <w:pPr>
        <w:spacing w:line="240" w:lineRule="auto"/>
        <w:jc w:val="both"/>
      </w:pPr>
    </w:p>
    <w:p w14:paraId="240D4BE6" w14:textId="77777777" w:rsidR="0044120D" w:rsidRDefault="0044120D" w:rsidP="007541A9">
      <w:pPr>
        <w:spacing w:line="240" w:lineRule="auto"/>
        <w:jc w:val="both"/>
        <w:rPr>
          <w:color w:val="221F1F"/>
          <w:w w:val="110"/>
        </w:rPr>
      </w:pPr>
      <w:r>
        <w:rPr>
          <w:rFonts w:ascii="Calibri" w:hAnsi="Calibri" w:cs="Calibri"/>
          <w:noProof/>
          <w:lang w:eastAsia="es-ES"/>
        </w:rPr>
        <w:lastRenderedPageBreak/>
        <w:drawing>
          <wp:inline distT="0" distB="0" distL="0" distR="0" wp14:anchorId="1B67D47B" wp14:editId="422740EB">
            <wp:extent cx="5400040" cy="3796362"/>
            <wp:effectExtent l="0" t="0" r="0"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796362"/>
                    </a:xfrm>
                    <a:prstGeom prst="rect">
                      <a:avLst/>
                    </a:prstGeom>
                    <a:noFill/>
                    <a:ln>
                      <a:noFill/>
                    </a:ln>
                    <a:effectLst/>
                  </pic:spPr>
                </pic:pic>
              </a:graphicData>
            </a:graphic>
          </wp:inline>
        </w:drawing>
      </w:r>
    </w:p>
    <w:p w14:paraId="2D257EA3" w14:textId="77777777" w:rsidR="0044120D" w:rsidRDefault="0044120D" w:rsidP="007541A9">
      <w:pPr>
        <w:spacing w:line="240" w:lineRule="auto"/>
        <w:jc w:val="both"/>
        <w:rPr>
          <w:color w:val="221F1F"/>
          <w:w w:val="110"/>
        </w:rPr>
      </w:pPr>
    </w:p>
    <w:p w14:paraId="12780304" w14:textId="62EC7478" w:rsidR="0044120D" w:rsidRPr="00FE4912" w:rsidRDefault="0044120D" w:rsidP="007541A9">
      <w:pPr>
        <w:pStyle w:val="Epigrafea"/>
      </w:pPr>
      <w:bookmarkStart w:id="17" w:name="_Ref72415830"/>
      <w:bookmarkStart w:id="18" w:name="_Toc72771625"/>
      <w:r>
        <w:t xml:space="preserve">Figura </w:t>
      </w:r>
      <w:r w:rsidR="000606DB">
        <w:rPr>
          <w:noProof/>
        </w:rPr>
        <w:fldChar w:fldCharType="begin"/>
      </w:r>
      <w:r w:rsidR="000606DB">
        <w:rPr>
          <w:noProof/>
        </w:rPr>
        <w:instrText xml:space="preserve"> SEQ Figura \* ARABIC </w:instrText>
      </w:r>
      <w:r w:rsidR="000606DB">
        <w:rPr>
          <w:noProof/>
        </w:rPr>
        <w:fldChar w:fldCharType="separate"/>
      </w:r>
      <w:r w:rsidR="006C0251">
        <w:rPr>
          <w:noProof/>
        </w:rPr>
        <w:t>7</w:t>
      </w:r>
      <w:r w:rsidR="000606DB">
        <w:rPr>
          <w:noProof/>
        </w:rPr>
        <w:fldChar w:fldCharType="end"/>
      </w:r>
      <w:bookmarkEnd w:id="17"/>
      <w:r>
        <w:t xml:space="preserve">. </w:t>
      </w:r>
      <w:r w:rsidRPr="00FE4912">
        <w:t xml:space="preserve">Distribución de la superficie (ha) por usos de suelo generales, en el año 2018, por comarcas. Fuente: elaboración propia a partir de datos del </w:t>
      </w:r>
      <w:r w:rsidR="00C4532F">
        <w:t xml:space="preserve">inventario forestal, </w:t>
      </w:r>
      <w:r w:rsidRPr="00FE4912">
        <w:t>2018.</w:t>
      </w:r>
      <w:bookmarkEnd w:id="18"/>
    </w:p>
    <w:p w14:paraId="21187517" w14:textId="77777777" w:rsidR="0044120D" w:rsidRDefault="0044120D" w:rsidP="007541A9">
      <w:pPr>
        <w:spacing w:line="240" w:lineRule="auto"/>
        <w:jc w:val="both"/>
        <w:rPr>
          <w:color w:val="221F1F"/>
          <w:w w:val="110"/>
        </w:rPr>
      </w:pPr>
    </w:p>
    <w:p w14:paraId="6D9B57BB" w14:textId="454E00FA" w:rsidR="00197BF2" w:rsidRPr="00380790" w:rsidRDefault="0044120D" w:rsidP="007541A9">
      <w:pPr>
        <w:spacing w:line="240" w:lineRule="auto"/>
        <w:jc w:val="both"/>
      </w:pPr>
      <w:r w:rsidRPr="00380790">
        <w:t>En términos económicos, el Valor Añadido Bruto (VAB) del sector forestal primario ha ido aumentando desde la crisis económica del año 2008, alcanzando en el año 2018 los 157 millones de euros. Mientras que el VAB de los sectores relacionados con la transformación de la madera fue de 190 millones de euros en el</w:t>
      </w:r>
      <w:r w:rsidR="006C7792">
        <w:t xml:space="preserve"> año 2018, de los cuales el 19</w:t>
      </w:r>
      <w:r w:rsidRPr="00380790">
        <w:t>% procedió de la serrería.</w:t>
      </w:r>
      <w:r w:rsidR="00010041">
        <w:t xml:space="preserve"> </w:t>
      </w:r>
      <w:r w:rsidRPr="00380790">
        <w:t xml:space="preserve">Respecto al sector agropecuario, según datos de 2020, la superficie dedicada al sector agropecuario, constituida por cultivos y prados de siega, ocupa 180.073 ha (25 % de la </w:t>
      </w:r>
      <w:r w:rsidR="00197BF2" w:rsidRPr="00380790">
        <w:t>superficie total), de las cuales 70.514 ha corresponden a suelos de cultivo</w:t>
      </w:r>
      <w:r w:rsidR="00197BF2" w:rsidRPr="006C7792">
        <w:rPr>
          <w:vertAlign w:val="superscript"/>
        </w:rPr>
        <w:footnoteReference w:id="1"/>
      </w:r>
      <w:r w:rsidR="00197BF2" w:rsidRPr="00380790">
        <w:t>. Los cultivos herbáceos, en su mayoría cereales – principalmente trigo y cebada- ocupan una mayor superficie con un 62% y el viñedo con un 20%. Por otro lado, los cultivos industriales –en gran parte girasol y remolacha azucarera- los cultivos forrajeros, los frutales y la patata ocupan una superficie considerablemente menor. Entre los tres territorios, Araba con 65.409 ha es con diferencia el territorio con mayor superficie de cultivo, Bizkaia cuenta con 2.167 ha y Gipuzkoa con 2.938 ha (</w:t>
      </w:r>
      <w:r w:rsidR="00197BF2" w:rsidRPr="00380790">
        <w:fldChar w:fldCharType="begin"/>
      </w:r>
      <w:r w:rsidR="00197BF2" w:rsidRPr="00380790">
        <w:instrText xml:space="preserve"> REF _Ref72416015 \h </w:instrText>
      </w:r>
      <w:r w:rsidR="00197BF2">
        <w:instrText xml:space="preserve"> \* MERGEFORMAT </w:instrText>
      </w:r>
      <w:r w:rsidR="00197BF2" w:rsidRPr="00380790">
        <w:fldChar w:fldCharType="separate"/>
      </w:r>
      <w:r w:rsidR="006C0251">
        <w:t>Figura 8</w:t>
      </w:r>
      <w:r w:rsidR="00197BF2" w:rsidRPr="00380790">
        <w:fldChar w:fldCharType="end"/>
      </w:r>
      <w:r w:rsidR="00197BF2" w:rsidRPr="00380790">
        <w:t>).</w:t>
      </w:r>
    </w:p>
    <w:p w14:paraId="0226DDB0" w14:textId="59628F9C" w:rsidR="0044120D" w:rsidRDefault="00197BF2" w:rsidP="007541A9">
      <w:pPr>
        <w:spacing w:line="240" w:lineRule="auto"/>
        <w:jc w:val="both"/>
      </w:pPr>
      <w:r w:rsidRPr="00683FDA">
        <w:rPr>
          <w:noProof/>
          <w:lang w:eastAsia="es-ES"/>
        </w:rPr>
        <w:lastRenderedPageBreak/>
        <w:drawing>
          <wp:anchor distT="0" distB="0" distL="114300" distR="114300" simplePos="0" relativeHeight="251654144" behindDoc="0" locked="0" layoutInCell="1" allowOverlap="1" wp14:anchorId="6FAAFFB5" wp14:editId="76F23D93">
            <wp:simplePos x="0" y="0"/>
            <wp:positionH relativeFrom="column">
              <wp:posOffset>-175260</wp:posOffset>
            </wp:positionH>
            <wp:positionV relativeFrom="paragraph">
              <wp:posOffset>327660</wp:posOffset>
            </wp:positionV>
            <wp:extent cx="5410200" cy="323532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0200" cy="323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119EC" w14:textId="4804E335" w:rsidR="0044120D" w:rsidRDefault="007006D2" w:rsidP="007541A9">
      <w:pPr>
        <w:pStyle w:val="Epigrafea"/>
      </w:pPr>
      <w:bookmarkStart w:id="19" w:name="_Ref72416015"/>
      <w:bookmarkStart w:id="20" w:name="_Toc72771626"/>
      <w:r>
        <w:t>F</w:t>
      </w:r>
      <w:r w:rsidR="0044120D">
        <w:t xml:space="preserve">igura </w:t>
      </w:r>
      <w:r w:rsidR="000606DB">
        <w:rPr>
          <w:noProof/>
        </w:rPr>
        <w:fldChar w:fldCharType="begin"/>
      </w:r>
      <w:r w:rsidR="000606DB">
        <w:rPr>
          <w:noProof/>
        </w:rPr>
        <w:instrText xml:space="preserve"> SEQ Figura \* ARABIC </w:instrText>
      </w:r>
      <w:r w:rsidR="000606DB">
        <w:rPr>
          <w:noProof/>
        </w:rPr>
        <w:fldChar w:fldCharType="separate"/>
      </w:r>
      <w:r w:rsidR="006C0251">
        <w:rPr>
          <w:noProof/>
        </w:rPr>
        <w:t>8</w:t>
      </w:r>
      <w:r w:rsidR="000606DB">
        <w:rPr>
          <w:noProof/>
        </w:rPr>
        <w:fldChar w:fldCharType="end"/>
      </w:r>
      <w:bookmarkEnd w:id="19"/>
      <w:r w:rsidR="0044120D">
        <w:t>. Superficie de cultivos (ha) en Araba, Gipuzkoa, Bizkaia y porcentaje de representatividad en Euskadi. Fuente</w:t>
      </w:r>
      <w:r w:rsidR="0044120D" w:rsidRPr="00C8194C">
        <w:t>: Órgano Estadístico del Departamento de Desarrollo Económico, Sostenibilidad y Medio Ambiente</w:t>
      </w:r>
      <w:r w:rsidR="0044120D">
        <w:t>. Superficie, producción y rendimientos agrícolas 2019.</w:t>
      </w:r>
      <w:bookmarkEnd w:id="20"/>
    </w:p>
    <w:p w14:paraId="649C24DC" w14:textId="77777777" w:rsidR="0044120D" w:rsidRDefault="0044120D" w:rsidP="007541A9">
      <w:pPr>
        <w:spacing w:line="240" w:lineRule="auto"/>
        <w:jc w:val="both"/>
        <w:rPr>
          <w:color w:val="221F1F"/>
          <w:w w:val="110"/>
        </w:rPr>
      </w:pPr>
    </w:p>
    <w:p w14:paraId="553EF99E" w14:textId="77777777" w:rsidR="0044120D" w:rsidRPr="00380790" w:rsidRDefault="0044120D" w:rsidP="007541A9">
      <w:pPr>
        <w:spacing w:line="240" w:lineRule="auto"/>
        <w:jc w:val="both"/>
      </w:pPr>
      <w:r w:rsidRPr="00380790">
        <w:t xml:space="preserve">En el año 2019 en Euskadi se produjeron 292.459 Tm de cereales, 49.980 Tm de patatas, 103.661 Tm de cultivos forrajeros, 149.912 Tm de cultivos industriales -principalmente remolacha azucarera pero también colza y girasol-, 26.819 Tm de hortalizas, 16.869 Tm de fruta -principalmente manzana- y por último 79.572 Tm de uva.  </w:t>
      </w:r>
    </w:p>
    <w:p w14:paraId="6BFAF93D" w14:textId="216E9E38" w:rsidR="0044120D" w:rsidRPr="00380790" w:rsidRDefault="0044120D" w:rsidP="007541A9">
      <w:pPr>
        <w:spacing w:line="240" w:lineRule="auto"/>
        <w:jc w:val="both"/>
      </w:pPr>
      <w:r w:rsidRPr="00380790">
        <w:t xml:space="preserve">La actividad agrícola de </w:t>
      </w:r>
      <w:r w:rsidR="006C7792">
        <w:t>Euskadi</w:t>
      </w:r>
      <w:r w:rsidRPr="00380790">
        <w:t xml:space="preserve"> (incluyendo explotaciones mixtas agrícola-ganaderas) generó un VAB de 142 millones de euros en el año 2018, mostrando una tendencia ascendente desde el año 2009. </w:t>
      </w:r>
    </w:p>
    <w:p w14:paraId="16388702" w14:textId="385A9996" w:rsidR="0044120D" w:rsidRDefault="0044120D" w:rsidP="007541A9">
      <w:pPr>
        <w:spacing w:line="240" w:lineRule="auto"/>
        <w:jc w:val="both"/>
      </w:pPr>
      <w:r w:rsidRPr="00380790">
        <w:t xml:space="preserve">En Euskadi existen 416.656 cabezas de ganado de las cuales el 52% corresponden a ganado ovino, el 33% a bovino, 9% a porcino y 6% a caprino. Además de la ganadería también es importante resaltar las granjas avícolas, en el año 2009 se censaron más de millón y medio de aves. De las 12.572 explotaciones ganaderas censadas en </w:t>
      </w:r>
      <w:r w:rsidR="006C7792">
        <w:t>Euskadi</w:t>
      </w:r>
      <w:r w:rsidRPr="00380790">
        <w:t xml:space="preserve"> la mayor parte están dedicadas al ganado bovino (36%) y ovino (44%) siendo el ganado caprino (18%) y el ganado porcino minoritarios (1%). </w:t>
      </w:r>
    </w:p>
    <w:p w14:paraId="11A0164B" w14:textId="06C2E105" w:rsidR="0044120D" w:rsidRDefault="0024617B" w:rsidP="007541A9">
      <w:pPr>
        <w:spacing w:line="240" w:lineRule="auto"/>
        <w:jc w:val="both"/>
      </w:pPr>
      <w:r w:rsidRPr="00A12862">
        <w:rPr>
          <w:noProof/>
          <w:lang w:eastAsia="es-ES"/>
        </w:rPr>
        <w:lastRenderedPageBreak/>
        <w:drawing>
          <wp:anchor distT="0" distB="0" distL="114300" distR="114300" simplePos="0" relativeHeight="251650048" behindDoc="0" locked="0" layoutInCell="1" allowOverlap="1" wp14:anchorId="164C2C23" wp14:editId="4631382C">
            <wp:simplePos x="0" y="0"/>
            <wp:positionH relativeFrom="column">
              <wp:posOffset>475615</wp:posOffset>
            </wp:positionH>
            <wp:positionV relativeFrom="paragraph">
              <wp:posOffset>36830</wp:posOffset>
            </wp:positionV>
            <wp:extent cx="4892040" cy="459232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231" r="8295" b="3073"/>
                    <a:stretch/>
                  </pic:blipFill>
                  <pic:spPr bwMode="auto">
                    <a:xfrm>
                      <a:off x="0" y="0"/>
                      <a:ext cx="4892040" cy="459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84086C" w14:textId="77777777" w:rsidR="0044120D" w:rsidRDefault="0044120D" w:rsidP="007541A9">
      <w:pPr>
        <w:spacing w:line="240" w:lineRule="auto"/>
        <w:jc w:val="both"/>
      </w:pPr>
    </w:p>
    <w:p w14:paraId="7543F484" w14:textId="77777777" w:rsidR="0044120D" w:rsidRDefault="0044120D" w:rsidP="007541A9">
      <w:pPr>
        <w:spacing w:line="240" w:lineRule="auto"/>
        <w:jc w:val="both"/>
      </w:pPr>
    </w:p>
    <w:p w14:paraId="4B0871A0" w14:textId="77777777" w:rsidR="0044120D" w:rsidRDefault="0044120D" w:rsidP="007541A9">
      <w:pPr>
        <w:spacing w:line="240" w:lineRule="auto"/>
        <w:jc w:val="both"/>
      </w:pPr>
    </w:p>
    <w:p w14:paraId="1DFBE2C4" w14:textId="77777777" w:rsidR="0044120D" w:rsidRDefault="0044120D" w:rsidP="007541A9">
      <w:pPr>
        <w:spacing w:line="240" w:lineRule="auto"/>
        <w:jc w:val="both"/>
      </w:pPr>
    </w:p>
    <w:p w14:paraId="6337324C" w14:textId="77777777" w:rsidR="0044120D" w:rsidRDefault="0044120D" w:rsidP="007541A9">
      <w:pPr>
        <w:spacing w:line="240" w:lineRule="auto"/>
        <w:jc w:val="both"/>
      </w:pPr>
    </w:p>
    <w:p w14:paraId="5791772F" w14:textId="77777777" w:rsidR="0044120D" w:rsidRDefault="0044120D" w:rsidP="007541A9">
      <w:pPr>
        <w:spacing w:line="240" w:lineRule="auto"/>
        <w:jc w:val="both"/>
      </w:pPr>
    </w:p>
    <w:p w14:paraId="02961D4B" w14:textId="77777777" w:rsidR="0044120D" w:rsidRDefault="0044120D" w:rsidP="007541A9">
      <w:pPr>
        <w:spacing w:line="240" w:lineRule="auto"/>
        <w:jc w:val="both"/>
      </w:pPr>
    </w:p>
    <w:p w14:paraId="53EE8A35" w14:textId="77777777" w:rsidR="0044120D" w:rsidRDefault="0044120D" w:rsidP="007541A9">
      <w:pPr>
        <w:spacing w:line="240" w:lineRule="auto"/>
        <w:jc w:val="both"/>
      </w:pPr>
    </w:p>
    <w:p w14:paraId="0138E36F" w14:textId="77777777" w:rsidR="0044120D" w:rsidRDefault="0044120D" w:rsidP="007541A9">
      <w:pPr>
        <w:spacing w:line="240" w:lineRule="auto"/>
        <w:jc w:val="both"/>
      </w:pPr>
    </w:p>
    <w:p w14:paraId="7E79CB13" w14:textId="77777777" w:rsidR="0044120D" w:rsidRDefault="0044120D" w:rsidP="007541A9">
      <w:pPr>
        <w:spacing w:line="240" w:lineRule="auto"/>
        <w:jc w:val="both"/>
      </w:pPr>
    </w:p>
    <w:p w14:paraId="2170891F" w14:textId="77777777" w:rsidR="0044120D" w:rsidRDefault="0044120D" w:rsidP="007541A9">
      <w:pPr>
        <w:spacing w:line="240" w:lineRule="auto"/>
        <w:jc w:val="both"/>
      </w:pPr>
    </w:p>
    <w:p w14:paraId="75493AF5" w14:textId="77777777" w:rsidR="0044120D" w:rsidRDefault="0044120D" w:rsidP="007541A9">
      <w:pPr>
        <w:spacing w:line="240" w:lineRule="auto"/>
        <w:jc w:val="both"/>
      </w:pPr>
    </w:p>
    <w:p w14:paraId="1567BAE6" w14:textId="77777777" w:rsidR="0044120D" w:rsidRDefault="0044120D" w:rsidP="007541A9">
      <w:pPr>
        <w:pStyle w:val="Epigrafea"/>
      </w:pPr>
    </w:p>
    <w:p w14:paraId="4779C0A0" w14:textId="77777777" w:rsidR="0044120D" w:rsidRDefault="0044120D" w:rsidP="007541A9">
      <w:pPr>
        <w:pStyle w:val="Epigrafea"/>
      </w:pPr>
    </w:p>
    <w:p w14:paraId="7A0497BF" w14:textId="77777777" w:rsidR="0024617B" w:rsidRDefault="0024617B" w:rsidP="007541A9">
      <w:pPr>
        <w:pStyle w:val="Epigrafea"/>
      </w:pPr>
    </w:p>
    <w:p w14:paraId="37B93B90" w14:textId="77777777" w:rsidR="00C75197" w:rsidRDefault="00C75197" w:rsidP="007541A9">
      <w:pPr>
        <w:pStyle w:val="Epigrafea"/>
      </w:pPr>
      <w:bookmarkStart w:id="21" w:name="_Toc72771627"/>
    </w:p>
    <w:p w14:paraId="24DFA75F" w14:textId="4301D0EF" w:rsidR="0044120D" w:rsidRDefault="0044120D" w:rsidP="007541A9">
      <w:pPr>
        <w:pStyle w:val="Epigrafea"/>
        <w:rPr>
          <w:color w:val="221F1F"/>
          <w:w w:val="110"/>
        </w:rPr>
      </w:pPr>
      <w:r>
        <w:t xml:space="preserve">Figura </w:t>
      </w:r>
      <w:r w:rsidR="000606DB">
        <w:rPr>
          <w:noProof/>
        </w:rPr>
        <w:fldChar w:fldCharType="begin"/>
      </w:r>
      <w:r w:rsidR="000606DB">
        <w:rPr>
          <w:noProof/>
        </w:rPr>
        <w:instrText xml:space="preserve"> SEQ Figura \* ARABIC </w:instrText>
      </w:r>
      <w:r w:rsidR="000606DB">
        <w:rPr>
          <w:noProof/>
        </w:rPr>
        <w:fldChar w:fldCharType="separate"/>
      </w:r>
      <w:r w:rsidR="006C0251">
        <w:rPr>
          <w:noProof/>
        </w:rPr>
        <w:t>9</w:t>
      </w:r>
      <w:r w:rsidR="000606DB">
        <w:rPr>
          <w:noProof/>
        </w:rPr>
        <w:fldChar w:fldCharType="end"/>
      </w:r>
      <w:r>
        <w:t>. Porcentaje de explotaciones ganaderas por tipologías y territorios</w:t>
      </w:r>
      <w:bookmarkEnd w:id="21"/>
    </w:p>
    <w:p w14:paraId="3324BAE8" w14:textId="77777777" w:rsidR="0044120D" w:rsidRPr="00104025" w:rsidRDefault="0044120D" w:rsidP="007541A9">
      <w:pPr>
        <w:spacing w:line="240" w:lineRule="auto"/>
        <w:jc w:val="both"/>
      </w:pPr>
    </w:p>
    <w:p w14:paraId="2323367E" w14:textId="736834DD" w:rsidR="0044120D" w:rsidRPr="00380790" w:rsidRDefault="0044120D" w:rsidP="007541A9">
      <w:pPr>
        <w:spacing w:line="240" w:lineRule="auto"/>
        <w:jc w:val="both"/>
      </w:pPr>
      <w:r w:rsidRPr="00380790">
        <w:t>A lo la largo de los últimos 20 años, en este sector también se ha producido un descenso continuado del número de explotaciones ganaderas y del número de cabezas de ganado, además en el caso del ganado ovino, se observa un incremento de la atomización de las explotaciones, de manera que su número se ha incrementado ligeramente a pesar de la reducción significativa del número de cabezas de ganado.</w:t>
      </w:r>
    </w:p>
    <w:p w14:paraId="18EE3BF2" w14:textId="77777777" w:rsidR="0044120D" w:rsidRPr="00380790" w:rsidRDefault="0044120D" w:rsidP="007541A9">
      <w:pPr>
        <w:spacing w:line="240" w:lineRule="auto"/>
        <w:jc w:val="both"/>
      </w:pPr>
      <w:r w:rsidRPr="00380790">
        <w:t xml:space="preserve">El VAB del sector ganadero se ha mantenido en el periodo 2009-2018 en torno a 130 millones de euros, siendo de 129 millones en el año 2018. </w:t>
      </w:r>
    </w:p>
    <w:p w14:paraId="067E60ED" w14:textId="77777777" w:rsidR="0044120D" w:rsidRPr="00380790" w:rsidRDefault="0044120D" w:rsidP="007541A9">
      <w:pPr>
        <w:spacing w:line="240" w:lineRule="auto"/>
        <w:jc w:val="both"/>
      </w:pPr>
      <w:r w:rsidRPr="00380790">
        <w:t xml:space="preserve">Analizando el sector pesquero, En el año 2019 la flota pesquera estaba compuesta por 198 embarcaciones, con una edad media de 18,7 años y sumaban una potencia de 195.477 caballos de vapor (CV) y una capacidad de 63.824 toneladas de registro bruto (TRB). En estas embarcaciones se empleó a 2145 personas (de media, en bajura, 7,3 personas/buque; en altura al fresco 12,4 personas/buque; en bacaladeros y atuneros congelador 31,5 personas/buque). </w:t>
      </w:r>
    </w:p>
    <w:p w14:paraId="39590571" w14:textId="77777777" w:rsidR="0044120D" w:rsidRPr="00380790" w:rsidRDefault="0044120D" w:rsidP="007541A9">
      <w:pPr>
        <w:spacing w:line="240" w:lineRule="auto"/>
        <w:jc w:val="both"/>
      </w:pPr>
      <w:r w:rsidRPr="00380790">
        <w:t xml:space="preserve">El VAB generado por el sector pesquero fluctúa notablemente a lo largo del tiempo, dependiendo de las capturas, en el año 2018 el VAB pesquero fue de 229 millones de euros. </w:t>
      </w:r>
    </w:p>
    <w:p w14:paraId="5601AA15" w14:textId="22854FED" w:rsidR="003D5171" w:rsidRDefault="0044120D" w:rsidP="007541A9">
      <w:pPr>
        <w:spacing w:line="240" w:lineRule="auto"/>
        <w:jc w:val="both"/>
      </w:pPr>
      <w:r w:rsidRPr="00380790">
        <w:t>La actividad empresarial ligada a las explotaciones forestales, agrícolas y ganaderas, junto con la pesca, presentan en términos generales un gran margen de mejora, debido principalmente a la atomización del sector, al pequeño tamaño medio de las explotaciones, l</w:t>
      </w:r>
      <w:r w:rsidR="007006D2">
        <w:t xml:space="preserve">a elevada edad de </w:t>
      </w:r>
      <w:r w:rsidR="007006D2">
        <w:lastRenderedPageBreak/>
        <w:t xml:space="preserve">propietarios y la </w:t>
      </w:r>
      <w:r w:rsidRPr="00380790">
        <w:t xml:space="preserve">falta de vocación de las generaciones más jóvenes. La estrategia de bioeconomía, los nuevos planteamientos de procesos innovadores, la formación especializada en estos sectores y el valor añadido que supone la bioeconomía, permitirán diversificar la industria, desarrollar nuevos procesos sostenibles, generar productos alternativos que valoricen los sectores, </w:t>
      </w:r>
      <w:r w:rsidR="003D5171">
        <w:t>e incrementar el</w:t>
      </w:r>
      <w:r w:rsidRPr="00380790">
        <w:t xml:space="preserve"> retorno (VAB) de cada una de las inversiones. El enfoque desde un punto de vista de </w:t>
      </w:r>
      <w:r w:rsidR="00DC2E44" w:rsidRPr="00380790">
        <w:t>bioeconomía</w:t>
      </w:r>
      <w:r w:rsidRPr="00380790">
        <w:t xml:space="preserve"> permitirá plantear nuevos escenarios futuros que favorezcan la incorporación de jóvenes a las explotaciones, con procesos más profesionalizados que impulsen y faciliten el acceso a las mujeres, así como el relevo generacional. </w:t>
      </w:r>
    </w:p>
    <w:p w14:paraId="5A4C7CC0" w14:textId="51C33463" w:rsidR="0044120D" w:rsidRDefault="007006D2" w:rsidP="007541A9">
      <w:pPr>
        <w:spacing w:line="240" w:lineRule="auto"/>
        <w:jc w:val="both"/>
      </w:pPr>
      <w:r>
        <w:t>Las capacidades</w:t>
      </w:r>
      <w:r w:rsidR="003D5171">
        <w:t xml:space="preserve"> y el potencial</w:t>
      </w:r>
      <w:r>
        <w:t xml:space="preserve"> del sector forestal-madera y agroalimentario de Euskadi permit</w:t>
      </w:r>
      <w:r w:rsidR="003D5171">
        <w:t>irán</w:t>
      </w:r>
      <w:r>
        <w:t xml:space="preserve"> </w:t>
      </w:r>
      <w:r w:rsidR="003D5171">
        <w:t>abordar</w:t>
      </w:r>
      <w:r>
        <w:t xml:space="preserve"> esta oportunidad </w:t>
      </w:r>
      <w:r w:rsidR="003D5171">
        <w:t xml:space="preserve">con garantías, </w:t>
      </w:r>
      <w:r w:rsidR="007D42B0">
        <w:t>ya que a lo largo de los años se han</w:t>
      </w:r>
      <w:r w:rsidR="003D5171">
        <w:t xml:space="preserve"> establecido y consolidado las </w:t>
      </w:r>
      <w:r w:rsidR="007D42B0">
        <w:t xml:space="preserve">cadenas de valor, </w:t>
      </w:r>
      <w:r w:rsidR="003D5171">
        <w:t>y han permitido</w:t>
      </w:r>
      <w:r w:rsidR="007D42B0">
        <w:t xml:space="preserve"> resolver problemas </w:t>
      </w:r>
      <w:r w:rsidR="003D5171">
        <w:t>y/</w:t>
      </w:r>
      <w:r w:rsidR="007D42B0">
        <w:t>o aprovechar oportunidades, en este caso la bioeconomía (</w:t>
      </w:r>
      <w:r w:rsidR="007D42B0">
        <w:fldChar w:fldCharType="begin"/>
      </w:r>
      <w:r w:rsidR="007D42B0">
        <w:instrText xml:space="preserve"> REF _Ref72668351 \h </w:instrText>
      </w:r>
      <w:r w:rsidR="007541A9">
        <w:instrText xml:space="preserve"> \* MERGEFORMAT </w:instrText>
      </w:r>
      <w:r w:rsidR="007D42B0">
        <w:fldChar w:fldCharType="separate"/>
      </w:r>
      <w:r w:rsidR="006C0251">
        <w:t xml:space="preserve">Figura </w:t>
      </w:r>
      <w:r w:rsidR="006C0251">
        <w:rPr>
          <w:noProof/>
        </w:rPr>
        <w:t>10</w:t>
      </w:r>
      <w:r w:rsidR="007D42B0">
        <w:fldChar w:fldCharType="end"/>
      </w:r>
      <w:r w:rsidR="007D42B0">
        <w:t xml:space="preserve">). </w:t>
      </w:r>
    </w:p>
    <w:p w14:paraId="6FB91304" w14:textId="77777777" w:rsidR="007D42B0" w:rsidRDefault="007D42B0" w:rsidP="007541A9">
      <w:pPr>
        <w:spacing w:line="240" w:lineRule="auto"/>
        <w:jc w:val="both"/>
      </w:pPr>
    </w:p>
    <w:p w14:paraId="2A1B768B" w14:textId="77777777" w:rsidR="007D42B0" w:rsidRDefault="007D42B0" w:rsidP="007541A9">
      <w:pPr>
        <w:spacing w:line="240" w:lineRule="auto"/>
        <w:jc w:val="both"/>
      </w:pPr>
    </w:p>
    <w:p w14:paraId="7A9F7029" w14:textId="1B017337" w:rsidR="007D42B0" w:rsidRDefault="007D42B0" w:rsidP="007541A9">
      <w:pPr>
        <w:spacing w:line="240" w:lineRule="auto"/>
        <w:jc w:val="both"/>
      </w:pPr>
      <w:r>
        <w:rPr>
          <w:noProof/>
          <w:lang w:eastAsia="es-ES"/>
        </w:rPr>
        <w:drawing>
          <wp:inline distT="0" distB="0" distL="0" distR="0" wp14:anchorId="21ADC80B" wp14:editId="59F4922E">
            <wp:extent cx="5943373" cy="3702050"/>
            <wp:effectExtent l="0" t="0" r="635" b="0"/>
            <wp:docPr id="41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 de valor agraria.jpg"/>
                    <pic:cNvPicPr/>
                  </pic:nvPicPr>
                  <pic:blipFill rotWithShape="1">
                    <a:blip r:embed="rId37">
                      <a:extLst>
                        <a:ext uri="{28A0092B-C50C-407E-A947-70E740481C1C}">
                          <a14:useLocalDpi xmlns:a14="http://schemas.microsoft.com/office/drawing/2010/main" val="0"/>
                        </a:ext>
                      </a:extLst>
                    </a:blip>
                    <a:srcRect l="1083" t="6896" r="6423" b="16286"/>
                    <a:stretch/>
                  </pic:blipFill>
                  <pic:spPr bwMode="auto">
                    <a:xfrm>
                      <a:off x="0" y="0"/>
                      <a:ext cx="5971833" cy="3719777"/>
                    </a:xfrm>
                    <a:prstGeom prst="rect">
                      <a:avLst/>
                    </a:prstGeom>
                    <a:ln>
                      <a:noFill/>
                    </a:ln>
                    <a:extLst>
                      <a:ext uri="{53640926-AAD7-44D8-BBD7-CCE9431645EC}">
                        <a14:shadowObscured xmlns:a14="http://schemas.microsoft.com/office/drawing/2010/main"/>
                      </a:ext>
                    </a:extLst>
                  </pic:spPr>
                </pic:pic>
              </a:graphicData>
            </a:graphic>
          </wp:inline>
        </w:drawing>
      </w:r>
    </w:p>
    <w:p w14:paraId="282DF5F8" w14:textId="2D4E3BCD" w:rsidR="007D42B0" w:rsidRDefault="007D42B0" w:rsidP="007541A9">
      <w:pPr>
        <w:spacing w:line="240" w:lineRule="auto"/>
        <w:jc w:val="both"/>
      </w:pPr>
      <w:r>
        <w:rPr>
          <w:noProof/>
          <w:lang w:eastAsia="es-ES"/>
        </w:rPr>
        <w:lastRenderedPageBreak/>
        <w:drawing>
          <wp:inline distT="0" distB="0" distL="0" distR="0" wp14:anchorId="2D58EA03" wp14:editId="1698C8B4">
            <wp:extent cx="5410200" cy="4281245"/>
            <wp:effectExtent l="0" t="0" r="0" b="5080"/>
            <wp:docPr id="41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istema forestal madera.jpg"/>
                    <pic:cNvPicPr/>
                  </pic:nvPicPr>
                  <pic:blipFill rotWithShape="1">
                    <a:blip r:embed="rId38">
                      <a:extLst>
                        <a:ext uri="{28A0092B-C50C-407E-A947-70E740481C1C}">
                          <a14:useLocalDpi xmlns:a14="http://schemas.microsoft.com/office/drawing/2010/main" val="0"/>
                        </a:ext>
                      </a:extLst>
                    </a:blip>
                    <a:srcRect l="7218" t="3689" r="2334" b="878"/>
                    <a:stretch/>
                  </pic:blipFill>
                  <pic:spPr bwMode="auto">
                    <a:xfrm>
                      <a:off x="0" y="0"/>
                      <a:ext cx="5420384" cy="4289304"/>
                    </a:xfrm>
                    <a:prstGeom prst="rect">
                      <a:avLst/>
                    </a:prstGeom>
                    <a:ln>
                      <a:noFill/>
                    </a:ln>
                    <a:extLst>
                      <a:ext uri="{53640926-AAD7-44D8-BBD7-CCE9431645EC}">
                        <a14:shadowObscured xmlns:a14="http://schemas.microsoft.com/office/drawing/2010/main"/>
                      </a:ext>
                    </a:extLst>
                  </pic:spPr>
                </pic:pic>
              </a:graphicData>
            </a:graphic>
          </wp:inline>
        </w:drawing>
      </w:r>
    </w:p>
    <w:p w14:paraId="6C9BE4E3" w14:textId="50BA40F7" w:rsidR="007D42B0" w:rsidRDefault="007D42B0" w:rsidP="007541A9">
      <w:pPr>
        <w:pStyle w:val="Epigrafea"/>
      </w:pPr>
      <w:bookmarkStart w:id="22" w:name="_Ref72668351"/>
      <w:bookmarkStart w:id="23" w:name="_Toc72771628"/>
      <w:r>
        <w:t xml:space="preserve">Figura </w:t>
      </w:r>
      <w:r w:rsidR="000606DB">
        <w:rPr>
          <w:noProof/>
        </w:rPr>
        <w:fldChar w:fldCharType="begin"/>
      </w:r>
      <w:r w:rsidR="000606DB">
        <w:rPr>
          <w:noProof/>
        </w:rPr>
        <w:instrText xml:space="preserve"> SEQ Figura \* ARABIC </w:instrText>
      </w:r>
      <w:r w:rsidR="000606DB">
        <w:rPr>
          <w:noProof/>
        </w:rPr>
        <w:fldChar w:fldCharType="separate"/>
      </w:r>
      <w:r w:rsidR="006C0251">
        <w:rPr>
          <w:noProof/>
        </w:rPr>
        <w:t>10</w:t>
      </w:r>
      <w:r w:rsidR="000606DB">
        <w:rPr>
          <w:noProof/>
        </w:rPr>
        <w:fldChar w:fldCharType="end"/>
      </w:r>
      <w:bookmarkEnd w:id="22"/>
      <w:r>
        <w:t>. Cadena</w:t>
      </w:r>
      <w:r w:rsidR="00234A33">
        <w:t>s</w:t>
      </w:r>
      <w:r w:rsidR="00DB7518">
        <w:t xml:space="preserve"> de valor del sector agroalimentario</w:t>
      </w:r>
      <w:r>
        <w:t xml:space="preserve"> y forestal-madera de Euskadi.</w:t>
      </w:r>
      <w:bookmarkEnd w:id="23"/>
    </w:p>
    <w:p w14:paraId="5199E5E2" w14:textId="77777777" w:rsidR="007D42B0" w:rsidRDefault="007D42B0" w:rsidP="007541A9">
      <w:pPr>
        <w:spacing w:line="240" w:lineRule="auto"/>
        <w:jc w:val="both"/>
      </w:pPr>
    </w:p>
    <w:p w14:paraId="6F9529FF" w14:textId="77777777" w:rsidR="00672288" w:rsidRDefault="00672288" w:rsidP="007541A9">
      <w:pPr>
        <w:spacing w:line="240" w:lineRule="auto"/>
        <w:jc w:val="both"/>
      </w:pPr>
    </w:p>
    <w:p w14:paraId="3586409C" w14:textId="727EEB15" w:rsidR="00D6373D" w:rsidRDefault="00D6373D" w:rsidP="007541A9">
      <w:pPr>
        <w:spacing w:line="240" w:lineRule="auto"/>
        <w:jc w:val="both"/>
      </w:pPr>
    </w:p>
    <w:p w14:paraId="7A696F0B" w14:textId="6A4E5C5A" w:rsidR="009B7B5F" w:rsidRDefault="009B7B5F" w:rsidP="007541A9">
      <w:pPr>
        <w:pStyle w:val="1izenburua"/>
        <w:spacing w:line="240" w:lineRule="auto"/>
        <w:jc w:val="both"/>
      </w:pPr>
    </w:p>
    <w:sectPr w:rsidR="009B7B5F" w:rsidSect="00663071">
      <w:footerReference w:type="default" r:id="rId39"/>
      <w:pgSz w:w="11906" w:h="16838"/>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E8F37" w14:textId="77777777" w:rsidR="00502E55" w:rsidRDefault="00502E55" w:rsidP="00A458B1">
      <w:pPr>
        <w:spacing w:after="0" w:line="240" w:lineRule="auto"/>
      </w:pPr>
      <w:r>
        <w:separator/>
      </w:r>
    </w:p>
  </w:endnote>
  <w:endnote w:type="continuationSeparator" w:id="0">
    <w:p w14:paraId="7FEF34AE" w14:textId="77777777" w:rsidR="00502E55" w:rsidRDefault="00502E55" w:rsidP="00A45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234219"/>
      <w:docPartObj>
        <w:docPartGallery w:val="Page Numbers (Bottom of Page)"/>
        <w:docPartUnique/>
      </w:docPartObj>
    </w:sdtPr>
    <w:sdtEndPr/>
    <w:sdtContent>
      <w:p w14:paraId="2B4191C2" w14:textId="75B65E97" w:rsidR="000606DB" w:rsidRDefault="000606DB">
        <w:pPr>
          <w:pStyle w:val="Orri-oina"/>
          <w:jc w:val="right"/>
        </w:pPr>
        <w:r>
          <w:fldChar w:fldCharType="begin"/>
        </w:r>
        <w:r>
          <w:instrText>PAGE   \* MERGEFORMAT</w:instrText>
        </w:r>
        <w:r>
          <w:fldChar w:fldCharType="separate"/>
        </w:r>
        <w:r w:rsidR="00763B81">
          <w:rPr>
            <w:noProof/>
          </w:rPr>
          <w:t>20</w:t>
        </w:r>
        <w:r>
          <w:fldChar w:fldCharType="end"/>
        </w:r>
      </w:p>
    </w:sdtContent>
  </w:sdt>
  <w:p w14:paraId="48627ED3" w14:textId="77777777" w:rsidR="000606DB" w:rsidRDefault="000606DB">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295FA" w14:textId="77777777" w:rsidR="00502E55" w:rsidRDefault="00502E55" w:rsidP="00A458B1">
      <w:pPr>
        <w:spacing w:after="0" w:line="240" w:lineRule="auto"/>
      </w:pPr>
      <w:r>
        <w:separator/>
      </w:r>
    </w:p>
  </w:footnote>
  <w:footnote w:type="continuationSeparator" w:id="0">
    <w:p w14:paraId="5E007762" w14:textId="77777777" w:rsidR="00502E55" w:rsidRDefault="00502E55" w:rsidP="00A458B1">
      <w:pPr>
        <w:spacing w:after="0" w:line="240" w:lineRule="auto"/>
      </w:pPr>
      <w:r>
        <w:continuationSeparator/>
      </w:r>
    </w:p>
  </w:footnote>
  <w:footnote w:id="1">
    <w:p w14:paraId="7B818269" w14:textId="77777777" w:rsidR="000606DB" w:rsidRDefault="000606DB" w:rsidP="00197BF2">
      <w:pPr>
        <w:pStyle w:val="Oin-oharrarentestua"/>
      </w:pPr>
      <w:r>
        <w:rPr>
          <w:rStyle w:val="Oin-oharrarenerreferentzia"/>
        </w:rPr>
        <w:footnoteRef/>
      </w:r>
      <w:r>
        <w:t xml:space="preserve"> </w:t>
      </w:r>
      <w:r w:rsidRPr="00383768">
        <w:rPr>
          <w:sz w:val="16"/>
          <w:szCs w:val="16"/>
        </w:rPr>
        <w:t>Fuente: Órgano Estadístico del Departamento de Desarrollo Económico, Sostenibilidad y Medio Ambiente</w:t>
      </w:r>
      <w:r>
        <w:rPr>
          <w:sz w:val="16"/>
          <w:szCs w:val="16"/>
        </w:rPr>
        <w:t>. EUSTAT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59CF"/>
    <w:multiLevelType w:val="hybridMultilevel"/>
    <w:tmpl w:val="276A6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320471"/>
    <w:multiLevelType w:val="hybridMultilevel"/>
    <w:tmpl w:val="439AFD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C6177A"/>
    <w:multiLevelType w:val="hybridMultilevel"/>
    <w:tmpl w:val="064A7DE6"/>
    <w:lvl w:ilvl="0" w:tplc="37FC1750">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DF0434"/>
    <w:multiLevelType w:val="hybridMultilevel"/>
    <w:tmpl w:val="707E10E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8629A1"/>
    <w:multiLevelType w:val="hybridMultilevel"/>
    <w:tmpl w:val="9FBC855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990C67"/>
    <w:multiLevelType w:val="multilevel"/>
    <w:tmpl w:val="650C07E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17727EB"/>
    <w:multiLevelType w:val="hybridMultilevel"/>
    <w:tmpl w:val="4E5A5384"/>
    <w:lvl w:ilvl="0" w:tplc="37FC175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D371BB"/>
    <w:multiLevelType w:val="hybridMultilevel"/>
    <w:tmpl w:val="1F6CF3C6"/>
    <w:lvl w:ilvl="0" w:tplc="0B52B1F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69344E8"/>
    <w:multiLevelType w:val="hybridMultilevel"/>
    <w:tmpl w:val="9EBE82E8"/>
    <w:lvl w:ilvl="0" w:tplc="BED2F20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7136D19"/>
    <w:multiLevelType w:val="hybridMultilevel"/>
    <w:tmpl w:val="614C0D82"/>
    <w:lvl w:ilvl="0" w:tplc="AFD86DFC">
      <w:start w:val="1"/>
      <w:numFmt w:val="bullet"/>
      <w:lvlText w:val=""/>
      <w:lvlJc w:val="left"/>
      <w:pPr>
        <w:tabs>
          <w:tab w:val="num" w:pos="720"/>
        </w:tabs>
        <w:ind w:left="720" w:hanging="360"/>
      </w:pPr>
      <w:rPr>
        <w:rFonts w:ascii="Wingdings" w:hAnsi="Wingdings" w:hint="default"/>
      </w:rPr>
    </w:lvl>
    <w:lvl w:ilvl="1" w:tplc="CBFC3950">
      <w:start w:val="4384"/>
      <w:numFmt w:val="bullet"/>
      <w:lvlText w:val=""/>
      <w:lvlJc w:val="left"/>
      <w:pPr>
        <w:tabs>
          <w:tab w:val="num" w:pos="1440"/>
        </w:tabs>
        <w:ind w:left="1440" w:hanging="360"/>
      </w:pPr>
      <w:rPr>
        <w:rFonts w:ascii="Wingdings" w:hAnsi="Wingdings" w:hint="default"/>
      </w:rPr>
    </w:lvl>
    <w:lvl w:ilvl="2" w:tplc="35F0B6E4" w:tentative="1">
      <w:start w:val="1"/>
      <w:numFmt w:val="bullet"/>
      <w:lvlText w:val=""/>
      <w:lvlJc w:val="left"/>
      <w:pPr>
        <w:tabs>
          <w:tab w:val="num" w:pos="2160"/>
        </w:tabs>
        <w:ind w:left="2160" w:hanging="360"/>
      </w:pPr>
      <w:rPr>
        <w:rFonts w:ascii="Wingdings" w:hAnsi="Wingdings" w:hint="default"/>
      </w:rPr>
    </w:lvl>
    <w:lvl w:ilvl="3" w:tplc="BDEEC4B6" w:tentative="1">
      <w:start w:val="1"/>
      <w:numFmt w:val="bullet"/>
      <w:lvlText w:val=""/>
      <w:lvlJc w:val="left"/>
      <w:pPr>
        <w:tabs>
          <w:tab w:val="num" w:pos="2880"/>
        </w:tabs>
        <w:ind w:left="2880" w:hanging="360"/>
      </w:pPr>
      <w:rPr>
        <w:rFonts w:ascii="Wingdings" w:hAnsi="Wingdings" w:hint="default"/>
      </w:rPr>
    </w:lvl>
    <w:lvl w:ilvl="4" w:tplc="35021960" w:tentative="1">
      <w:start w:val="1"/>
      <w:numFmt w:val="bullet"/>
      <w:lvlText w:val=""/>
      <w:lvlJc w:val="left"/>
      <w:pPr>
        <w:tabs>
          <w:tab w:val="num" w:pos="3600"/>
        </w:tabs>
        <w:ind w:left="3600" w:hanging="360"/>
      </w:pPr>
      <w:rPr>
        <w:rFonts w:ascii="Wingdings" w:hAnsi="Wingdings" w:hint="default"/>
      </w:rPr>
    </w:lvl>
    <w:lvl w:ilvl="5" w:tplc="D9C63BA8" w:tentative="1">
      <w:start w:val="1"/>
      <w:numFmt w:val="bullet"/>
      <w:lvlText w:val=""/>
      <w:lvlJc w:val="left"/>
      <w:pPr>
        <w:tabs>
          <w:tab w:val="num" w:pos="4320"/>
        </w:tabs>
        <w:ind w:left="4320" w:hanging="360"/>
      </w:pPr>
      <w:rPr>
        <w:rFonts w:ascii="Wingdings" w:hAnsi="Wingdings" w:hint="default"/>
      </w:rPr>
    </w:lvl>
    <w:lvl w:ilvl="6" w:tplc="2492659C" w:tentative="1">
      <w:start w:val="1"/>
      <w:numFmt w:val="bullet"/>
      <w:lvlText w:val=""/>
      <w:lvlJc w:val="left"/>
      <w:pPr>
        <w:tabs>
          <w:tab w:val="num" w:pos="5040"/>
        </w:tabs>
        <w:ind w:left="5040" w:hanging="360"/>
      </w:pPr>
      <w:rPr>
        <w:rFonts w:ascii="Wingdings" w:hAnsi="Wingdings" w:hint="default"/>
      </w:rPr>
    </w:lvl>
    <w:lvl w:ilvl="7" w:tplc="756ADBBE" w:tentative="1">
      <w:start w:val="1"/>
      <w:numFmt w:val="bullet"/>
      <w:lvlText w:val=""/>
      <w:lvlJc w:val="left"/>
      <w:pPr>
        <w:tabs>
          <w:tab w:val="num" w:pos="5760"/>
        </w:tabs>
        <w:ind w:left="5760" w:hanging="360"/>
      </w:pPr>
      <w:rPr>
        <w:rFonts w:ascii="Wingdings" w:hAnsi="Wingdings" w:hint="default"/>
      </w:rPr>
    </w:lvl>
    <w:lvl w:ilvl="8" w:tplc="B9AA641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3A3B5D"/>
    <w:multiLevelType w:val="hybridMultilevel"/>
    <w:tmpl w:val="99608CAA"/>
    <w:lvl w:ilvl="0" w:tplc="0B52B1F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D1C61B2"/>
    <w:multiLevelType w:val="hybridMultilevel"/>
    <w:tmpl w:val="EBBE78F2"/>
    <w:lvl w:ilvl="0" w:tplc="3716C18E">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17B205E"/>
    <w:multiLevelType w:val="hybridMultilevel"/>
    <w:tmpl w:val="C7E2CA44"/>
    <w:lvl w:ilvl="0" w:tplc="E50A4EDC">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1F56952"/>
    <w:multiLevelType w:val="hybridMultilevel"/>
    <w:tmpl w:val="F38A9428"/>
    <w:lvl w:ilvl="0" w:tplc="BB8ECCA8">
      <w:start w:val="6"/>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26F6587F"/>
    <w:multiLevelType w:val="hybridMultilevel"/>
    <w:tmpl w:val="449C6D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9962D53"/>
    <w:multiLevelType w:val="hybridMultilevel"/>
    <w:tmpl w:val="2B20D6A6"/>
    <w:lvl w:ilvl="0" w:tplc="4EFEEBCE">
      <w:start w:val="1"/>
      <w:numFmt w:val="bullet"/>
      <w:lvlText w:val=""/>
      <w:lvlJc w:val="left"/>
      <w:pPr>
        <w:tabs>
          <w:tab w:val="num" w:pos="720"/>
        </w:tabs>
        <w:ind w:left="720" w:hanging="360"/>
      </w:pPr>
      <w:rPr>
        <w:rFonts w:ascii="Wingdings" w:hAnsi="Wingdings" w:hint="default"/>
      </w:rPr>
    </w:lvl>
    <w:lvl w:ilvl="1" w:tplc="0282B510" w:tentative="1">
      <w:start w:val="1"/>
      <w:numFmt w:val="bullet"/>
      <w:lvlText w:val=""/>
      <w:lvlJc w:val="left"/>
      <w:pPr>
        <w:tabs>
          <w:tab w:val="num" w:pos="1440"/>
        </w:tabs>
        <w:ind w:left="1440" w:hanging="360"/>
      </w:pPr>
      <w:rPr>
        <w:rFonts w:ascii="Wingdings" w:hAnsi="Wingdings" w:hint="default"/>
      </w:rPr>
    </w:lvl>
    <w:lvl w:ilvl="2" w:tplc="DAC42DF2" w:tentative="1">
      <w:start w:val="1"/>
      <w:numFmt w:val="bullet"/>
      <w:lvlText w:val=""/>
      <w:lvlJc w:val="left"/>
      <w:pPr>
        <w:tabs>
          <w:tab w:val="num" w:pos="2160"/>
        </w:tabs>
        <w:ind w:left="2160" w:hanging="360"/>
      </w:pPr>
      <w:rPr>
        <w:rFonts w:ascii="Wingdings" w:hAnsi="Wingdings" w:hint="default"/>
      </w:rPr>
    </w:lvl>
    <w:lvl w:ilvl="3" w:tplc="F2DA5CAE" w:tentative="1">
      <w:start w:val="1"/>
      <w:numFmt w:val="bullet"/>
      <w:lvlText w:val=""/>
      <w:lvlJc w:val="left"/>
      <w:pPr>
        <w:tabs>
          <w:tab w:val="num" w:pos="2880"/>
        </w:tabs>
        <w:ind w:left="2880" w:hanging="360"/>
      </w:pPr>
      <w:rPr>
        <w:rFonts w:ascii="Wingdings" w:hAnsi="Wingdings" w:hint="default"/>
      </w:rPr>
    </w:lvl>
    <w:lvl w:ilvl="4" w:tplc="0E6A501A" w:tentative="1">
      <w:start w:val="1"/>
      <w:numFmt w:val="bullet"/>
      <w:lvlText w:val=""/>
      <w:lvlJc w:val="left"/>
      <w:pPr>
        <w:tabs>
          <w:tab w:val="num" w:pos="3600"/>
        </w:tabs>
        <w:ind w:left="3600" w:hanging="360"/>
      </w:pPr>
      <w:rPr>
        <w:rFonts w:ascii="Wingdings" w:hAnsi="Wingdings" w:hint="default"/>
      </w:rPr>
    </w:lvl>
    <w:lvl w:ilvl="5" w:tplc="6F442318" w:tentative="1">
      <w:start w:val="1"/>
      <w:numFmt w:val="bullet"/>
      <w:lvlText w:val=""/>
      <w:lvlJc w:val="left"/>
      <w:pPr>
        <w:tabs>
          <w:tab w:val="num" w:pos="4320"/>
        </w:tabs>
        <w:ind w:left="4320" w:hanging="360"/>
      </w:pPr>
      <w:rPr>
        <w:rFonts w:ascii="Wingdings" w:hAnsi="Wingdings" w:hint="default"/>
      </w:rPr>
    </w:lvl>
    <w:lvl w:ilvl="6" w:tplc="D7AA1080" w:tentative="1">
      <w:start w:val="1"/>
      <w:numFmt w:val="bullet"/>
      <w:lvlText w:val=""/>
      <w:lvlJc w:val="left"/>
      <w:pPr>
        <w:tabs>
          <w:tab w:val="num" w:pos="5040"/>
        </w:tabs>
        <w:ind w:left="5040" w:hanging="360"/>
      </w:pPr>
      <w:rPr>
        <w:rFonts w:ascii="Wingdings" w:hAnsi="Wingdings" w:hint="default"/>
      </w:rPr>
    </w:lvl>
    <w:lvl w:ilvl="7" w:tplc="82CA253C" w:tentative="1">
      <w:start w:val="1"/>
      <w:numFmt w:val="bullet"/>
      <w:lvlText w:val=""/>
      <w:lvlJc w:val="left"/>
      <w:pPr>
        <w:tabs>
          <w:tab w:val="num" w:pos="5760"/>
        </w:tabs>
        <w:ind w:left="5760" w:hanging="360"/>
      </w:pPr>
      <w:rPr>
        <w:rFonts w:ascii="Wingdings" w:hAnsi="Wingdings" w:hint="default"/>
      </w:rPr>
    </w:lvl>
    <w:lvl w:ilvl="8" w:tplc="D1FE738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7F052C"/>
    <w:multiLevelType w:val="hybridMultilevel"/>
    <w:tmpl w:val="2948374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3B2676D"/>
    <w:multiLevelType w:val="hybridMultilevel"/>
    <w:tmpl w:val="3ABA75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789382E"/>
    <w:multiLevelType w:val="hybridMultilevel"/>
    <w:tmpl w:val="85404D2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C4151BC"/>
    <w:multiLevelType w:val="hybridMultilevel"/>
    <w:tmpl w:val="B92084F0"/>
    <w:lvl w:ilvl="0" w:tplc="E50A4EDC">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CEF4F87"/>
    <w:multiLevelType w:val="hybridMultilevel"/>
    <w:tmpl w:val="DC1CA766"/>
    <w:lvl w:ilvl="0" w:tplc="1410F322">
      <w:start w:val="1"/>
      <w:numFmt w:val="bullet"/>
      <w:pStyle w:val="Titulua"/>
      <w:lvlText w:val="•"/>
      <w:lvlJc w:val="left"/>
      <w:pPr>
        <w:ind w:left="717" w:hanging="360"/>
      </w:pPr>
      <w:rPr>
        <w:rFonts w:ascii="Arial" w:hAnsi="Aria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DBF7AD1"/>
    <w:multiLevelType w:val="hybridMultilevel"/>
    <w:tmpl w:val="520AA1AC"/>
    <w:lvl w:ilvl="0" w:tplc="0B52B1F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E865114"/>
    <w:multiLevelType w:val="hybridMultilevel"/>
    <w:tmpl w:val="6066A4D0"/>
    <w:lvl w:ilvl="0" w:tplc="0B52B1F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F7D6D9D"/>
    <w:multiLevelType w:val="hybridMultilevel"/>
    <w:tmpl w:val="043E09FC"/>
    <w:lvl w:ilvl="0" w:tplc="E50A4EDC">
      <w:start w:val="1"/>
      <w:numFmt w:val="bullet"/>
      <w:lvlText w:val=""/>
      <w:lvlJc w:val="left"/>
      <w:pPr>
        <w:ind w:left="1428" w:hanging="360"/>
      </w:pPr>
      <w:rPr>
        <w:rFonts w:ascii="Symbol" w:eastAsiaTheme="minorHAnsi" w:hAnsi="Symbol" w:cstheme="minorBidi"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415A6DBF"/>
    <w:multiLevelType w:val="hybridMultilevel"/>
    <w:tmpl w:val="46F6B3B0"/>
    <w:lvl w:ilvl="0" w:tplc="F4D06550">
      <w:start w:val="14"/>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2987B6A"/>
    <w:multiLevelType w:val="multilevel"/>
    <w:tmpl w:val="EE84D53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CA737C"/>
    <w:multiLevelType w:val="hybridMultilevel"/>
    <w:tmpl w:val="C02A9FE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41E7828"/>
    <w:multiLevelType w:val="multilevel"/>
    <w:tmpl w:val="B3EE4AA4"/>
    <w:lvl w:ilvl="0">
      <w:start w:val="5"/>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46DB79CA"/>
    <w:multiLevelType w:val="hybridMultilevel"/>
    <w:tmpl w:val="CABE9484"/>
    <w:lvl w:ilvl="0" w:tplc="0C0A000D">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B471FD9"/>
    <w:multiLevelType w:val="hybridMultilevel"/>
    <w:tmpl w:val="0B6A4814"/>
    <w:lvl w:ilvl="0" w:tplc="98C2E65C">
      <w:start w:val="1"/>
      <w:numFmt w:val="bullet"/>
      <w:lvlText w:val=""/>
      <w:lvlJc w:val="left"/>
      <w:pPr>
        <w:tabs>
          <w:tab w:val="num" w:pos="720"/>
        </w:tabs>
        <w:ind w:left="720" w:hanging="360"/>
      </w:pPr>
      <w:rPr>
        <w:rFonts w:ascii="Wingdings" w:hAnsi="Wingdings" w:hint="default"/>
      </w:rPr>
    </w:lvl>
    <w:lvl w:ilvl="1" w:tplc="04F463BA" w:tentative="1">
      <w:start w:val="1"/>
      <w:numFmt w:val="bullet"/>
      <w:lvlText w:val=""/>
      <w:lvlJc w:val="left"/>
      <w:pPr>
        <w:tabs>
          <w:tab w:val="num" w:pos="1440"/>
        </w:tabs>
        <w:ind w:left="1440" w:hanging="360"/>
      </w:pPr>
      <w:rPr>
        <w:rFonts w:ascii="Wingdings" w:hAnsi="Wingdings" w:hint="default"/>
      </w:rPr>
    </w:lvl>
    <w:lvl w:ilvl="2" w:tplc="2B6AF8CC" w:tentative="1">
      <w:start w:val="1"/>
      <w:numFmt w:val="bullet"/>
      <w:lvlText w:val=""/>
      <w:lvlJc w:val="left"/>
      <w:pPr>
        <w:tabs>
          <w:tab w:val="num" w:pos="2160"/>
        </w:tabs>
        <w:ind w:left="2160" w:hanging="360"/>
      </w:pPr>
      <w:rPr>
        <w:rFonts w:ascii="Wingdings" w:hAnsi="Wingdings" w:hint="default"/>
      </w:rPr>
    </w:lvl>
    <w:lvl w:ilvl="3" w:tplc="58A07AA0" w:tentative="1">
      <w:start w:val="1"/>
      <w:numFmt w:val="bullet"/>
      <w:lvlText w:val=""/>
      <w:lvlJc w:val="left"/>
      <w:pPr>
        <w:tabs>
          <w:tab w:val="num" w:pos="2880"/>
        </w:tabs>
        <w:ind w:left="2880" w:hanging="360"/>
      </w:pPr>
      <w:rPr>
        <w:rFonts w:ascii="Wingdings" w:hAnsi="Wingdings" w:hint="default"/>
      </w:rPr>
    </w:lvl>
    <w:lvl w:ilvl="4" w:tplc="CE74D3EC" w:tentative="1">
      <w:start w:val="1"/>
      <w:numFmt w:val="bullet"/>
      <w:lvlText w:val=""/>
      <w:lvlJc w:val="left"/>
      <w:pPr>
        <w:tabs>
          <w:tab w:val="num" w:pos="3600"/>
        </w:tabs>
        <w:ind w:left="3600" w:hanging="360"/>
      </w:pPr>
      <w:rPr>
        <w:rFonts w:ascii="Wingdings" w:hAnsi="Wingdings" w:hint="default"/>
      </w:rPr>
    </w:lvl>
    <w:lvl w:ilvl="5" w:tplc="80F60330" w:tentative="1">
      <w:start w:val="1"/>
      <w:numFmt w:val="bullet"/>
      <w:lvlText w:val=""/>
      <w:lvlJc w:val="left"/>
      <w:pPr>
        <w:tabs>
          <w:tab w:val="num" w:pos="4320"/>
        </w:tabs>
        <w:ind w:left="4320" w:hanging="360"/>
      </w:pPr>
      <w:rPr>
        <w:rFonts w:ascii="Wingdings" w:hAnsi="Wingdings" w:hint="default"/>
      </w:rPr>
    </w:lvl>
    <w:lvl w:ilvl="6" w:tplc="A058DBF0" w:tentative="1">
      <w:start w:val="1"/>
      <w:numFmt w:val="bullet"/>
      <w:lvlText w:val=""/>
      <w:lvlJc w:val="left"/>
      <w:pPr>
        <w:tabs>
          <w:tab w:val="num" w:pos="5040"/>
        </w:tabs>
        <w:ind w:left="5040" w:hanging="360"/>
      </w:pPr>
      <w:rPr>
        <w:rFonts w:ascii="Wingdings" w:hAnsi="Wingdings" w:hint="default"/>
      </w:rPr>
    </w:lvl>
    <w:lvl w:ilvl="7" w:tplc="0336833A" w:tentative="1">
      <w:start w:val="1"/>
      <w:numFmt w:val="bullet"/>
      <w:lvlText w:val=""/>
      <w:lvlJc w:val="left"/>
      <w:pPr>
        <w:tabs>
          <w:tab w:val="num" w:pos="5760"/>
        </w:tabs>
        <w:ind w:left="5760" w:hanging="360"/>
      </w:pPr>
      <w:rPr>
        <w:rFonts w:ascii="Wingdings" w:hAnsi="Wingdings" w:hint="default"/>
      </w:rPr>
    </w:lvl>
    <w:lvl w:ilvl="8" w:tplc="AB881C9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3A029D"/>
    <w:multiLevelType w:val="hybridMultilevel"/>
    <w:tmpl w:val="CE1A71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C424CA8"/>
    <w:multiLevelType w:val="hybridMultilevel"/>
    <w:tmpl w:val="13667B3E"/>
    <w:lvl w:ilvl="0" w:tplc="80722836">
      <w:start w:val="1"/>
      <w:numFmt w:val="bullet"/>
      <w:lvlText w:val=""/>
      <w:lvlJc w:val="left"/>
      <w:pPr>
        <w:tabs>
          <w:tab w:val="num" w:pos="720"/>
        </w:tabs>
        <w:ind w:left="720" w:hanging="360"/>
      </w:pPr>
      <w:rPr>
        <w:rFonts w:ascii="Wingdings" w:hAnsi="Wingdings" w:hint="default"/>
      </w:rPr>
    </w:lvl>
    <w:lvl w:ilvl="1" w:tplc="2A92776A" w:tentative="1">
      <w:start w:val="1"/>
      <w:numFmt w:val="bullet"/>
      <w:lvlText w:val=""/>
      <w:lvlJc w:val="left"/>
      <w:pPr>
        <w:tabs>
          <w:tab w:val="num" w:pos="1440"/>
        </w:tabs>
        <w:ind w:left="1440" w:hanging="360"/>
      </w:pPr>
      <w:rPr>
        <w:rFonts w:ascii="Wingdings" w:hAnsi="Wingdings" w:hint="default"/>
      </w:rPr>
    </w:lvl>
    <w:lvl w:ilvl="2" w:tplc="85381C8A" w:tentative="1">
      <w:start w:val="1"/>
      <w:numFmt w:val="bullet"/>
      <w:lvlText w:val=""/>
      <w:lvlJc w:val="left"/>
      <w:pPr>
        <w:tabs>
          <w:tab w:val="num" w:pos="2160"/>
        </w:tabs>
        <w:ind w:left="2160" w:hanging="360"/>
      </w:pPr>
      <w:rPr>
        <w:rFonts w:ascii="Wingdings" w:hAnsi="Wingdings" w:hint="default"/>
      </w:rPr>
    </w:lvl>
    <w:lvl w:ilvl="3" w:tplc="583442F8" w:tentative="1">
      <w:start w:val="1"/>
      <w:numFmt w:val="bullet"/>
      <w:lvlText w:val=""/>
      <w:lvlJc w:val="left"/>
      <w:pPr>
        <w:tabs>
          <w:tab w:val="num" w:pos="2880"/>
        </w:tabs>
        <w:ind w:left="2880" w:hanging="360"/>
      </w:pPr>
      <w:rPr>
        <w:rFonts w:ascii="Wingdings" w:hAnsi="Wingdings" w:hint="default"/>
      </w:rPr>
    </w:lvl>
    <w:lvl w:ilvl="4" w:tplc="73804F92" w:tentative="1">
      <w:start w:val="1"/>
      <w:numFmt w:val="bullet"/>
      <w:lvlText w:val=""/>
      <w:lvlJc w:val="left"/>
      <w:pPr>
        <w:tabs>
          <w:tab w:val="num" w:pos="3600"/>
        </w:tabs>
        <w:ind w:left="3600" w:hanging="360"/>
      </w:pPr>
      <w:rPr>
        <w:rFonts w:ascii="Wingdings" w:hAnsi="Wingdings" w:hint="default"/>
      </w:rPr>
    </w:lvl>
    <w:lvl w:ilvl="5" w:tplc="2E3E5D40" w:tentative="1">
      <w:start w:val="1"/>
      <w:numFmt w:val="bullet"/>
      <w:lvlText w:val=""/>
      <w:lvlJc w:val="left"/>
      <w:pPr>
        <w:tabs>
          <w:tab w:val="num" w:pos="4320"/>
        </w:tabs>
        <w:ind w:left="4320" w:hanging="360"/>
      </w:pPr>
      <w:rPr>
        <w:rFonts w:ascii="Wingdings" w:hAnsi="Wingdings" w:hint="default"/>
      </w:rPr>
    </w:lvl>
    <w:lvl w:ilvl="6" w:tplc="FB4C33D0" w:tentative="1">
      <w:start w:val="1"/>
      <w:numFmt w:val="bullet"/>
      <w:lvlText w:val=""/>
      <w:lvlJc w:val="left"/>
      <w:pPr>
        <w:tabs>
          <w:tab w:val="num" w:pos="5040"/>
        </w:tabs>
        <w:ind w:left="5040" w:hanging="360"/>
      </w:pPr>
      <w:rPr>
        <w:rFonts w:ascii="Wingdings" w:hAnsi="Wingdings" w:hint="default"/>
      </w:rPr>
    </w:lvl>
    <w:lvl w:ilvl="7" w:tplc="3E6E8F6A" w:tentative="1">
      <w:start w:val="1"/>
      <w:numFmt w:val="bullet"/>
      <w:lvlText w:val=""/>
      <w:lvlJc w:val="left"/>
      <w:pPr>
        <w:tabs>
          <w:tab w:val="num" w:pos="5760"/>
        </w:tabs>
        <w:ind w:left="5760" w:hanging="360"/>
      </w:pPr>
      <w:rPr>
        <w:rFonts w:ascii="Wingdings" w:hAnsi="Wingdings" w:hint="default"/>
      </w:rPr>
    </w:lvl>
    <w:lvl w:ilvl="8" w:tplc="5248F40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9E319B"/>
    <w:multiLevelType w:val="multilevel"/>
    <w:tmpl w:val="7A0EDAA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3162887"/>
    <w:multiLevelType w:val="hybridMultilevel"/>
    <w:tmpl w:val="4CEC67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4115C5A"/>
    <w:multiLevelType w:val="hybridMultilevel"/>
    <w:tmpl w:val="4CEC67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59861FA"/>
    <w:multiLevelType w:val="multilevel"/>
    <w:tmpl w:val="650C07E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8964111"/>
    <w:multiLevelType w:val="hybridMultilevel"/>
    <w:tmpl w:val="B5AC2E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DD7536E"/>
    <w:multiLevelType w:val="hybridMultilevel"/>
    <w:tmpl w:val="DFA2E5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ECE5EF1"/>
    <w:multiLevelType w:val="hybridMultilevel"/>
    <w:tmpl w:val="AEE05D34"/>
    <w:lvl w:ilvl="0" w:tplc="38162312">
      <w:start w:val="1"/>
      <w:numFmt w:val="lowerRoman"/>
      <w:lvlText w:val="%1)"/>
      <w:lvlJc w:val="left"/>
      <w:pPr>
        <w:ind w:left="1125" w:hanging="7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9" w15:restartNumberingAfterBreak="0">
    <w:nsid w:val="6049106A"/>
    <w:multiLevelType w:val="hybridMultilevel"/>
    <w:tmpl w:val="ECCA89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15B2AEC"/>
    <w:multiLevelType w:val="hybridMultilevel"/>
    <w:tmpl w:val="74A2D83E"/>
    <w:lvl w:ilvl="0" w:tplc="0C0A0019">
      <w:start w:val="1"/>
      <w:numFmt w:val="lowerLetter"/>
      <w:lvlText w:val="%1."/>
      <w:lvlJc w:val="left"/>
      <w:pPr>
        <w:ind w:left="720" w:hanging="360"/>
      </w:pPr>
      <w:rPr>
        <w:rFonts w:hint="default"/>
      </w:rPr>
    </w:lvl>
    <w:lvl w:ilvl="1" w:tplc="97CC0BC0">
      <w:numFmt w:val="bullet"/>
      <w:lvlText w:val="•"/>
      <w:lvlJc w:val="left"/>
      <w:pPr>
        <w:ind w:left="1785" w:hanging="705"/>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5925DC0"/>
    <w:multiLevelType w:val="hybridMultilevel"/>
    <w:tmpl w:val="A08E00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6533EDB"/>
    <w:multiLevelType w:val="hybridMultilevel"/>
    <w:tmpl w:val="2BD25CC6"/>
    <w:lvl w:ilvl="0" w:tplc="96B0437E">
      <w:start w:val="1"/>
      <w:numFmt w:val="bullet"/>
      <w:lvlText w:val=""/>
      <w:lvlJc w:val="left"/>
      <w:pPr>
        <w:tabs>
          <w:tab w:val="num" w:pos="720"/>
        </w:tabs>
        <w:ind w:left="720" w:hanging="360"/>
      </w:pPr>
      <w:rPr>
        <w:rFonts w:ascii="Wingdings" w:hAnsi="Wingdings" w:hint="default"/>
      </w:rPr>
    </w:lvl>
    <w:lvl w:ilvl="1" w:tplc="BE9269D0">
      <w:start w:val="1"/>
      <w:numFmt w:val="bullet"/>
      <w:lvlText w:val=""/>
      <w:lvlJc w:val="left"/>
      <w:pPr>
        <w:tabs>
          <w:tab w:val="num" w:pos="1440"/>
        </w:tabs>
        <w:ind w:left="1440" w:hanging="360"/>
      </w:pPr>
      <w:rPr>
        <w:rFonts w:ascii="Wingdings" w:hAnsi="Wingdings" w:hint="default"/>
      </w:rPr>
    </w:lvl>
    <w:lvl w:ilvl="2" w:tplc="D4207EB8" w:tentative="1">
      <w:start w:val="1"/>
      <w:numFmt w:val="bullet"/>
      <w:lvlText w:val=""/>
      <w:lvlJc w:val="left"/>
      <w:pPr>
        <w:tabs>
          <w:tab w:val="num" w:pos="2160"/>
        </w:tabs>
        <w:ind w:left="2160" w:hanging="360"/>
      </w:pPr>
      <w:rPr>
        <w:rFonts w:ascii="Wingdings" w:hAnsi="Wingdings" w:hint="default"/>
      </w:rPr>
    </w:lvl>
    <w:lvl w:ilvl="3" w:tplc="FA260D48" w:tentative="1">
      <w:start w:val="1"/>
      <w:numFmt w:val="bullet"/>
      <w:lvlText w:val=""/>
      <w:lvlJc w:val="left"/>
      <w:pPr>
        <w:tabs>
          <w:tab w:val="num" w:pos="2880"/>
        </w:tabs>
        <w:ind w:left="2880" w:hanging="360"/>
      </w:pPr>
      <w:rPr>
        <w:rFonts w:ascii="Wingdings" w:hAnsi="Wingdings" w:hint="default"/>
      </w:rPr>
    </w:lvl>
    <w:lvl w:ilvl="4" w:tplc="C330C05E" w:tentative="1">
      <w:start w:val="1"/>
      <w:numFmt w:val="bullet"/>
      <w:lvlText w:val=""/>
      <w:lvlJc w:val="left"/>
      <w:pPr>
        <w:tabs>
          <w:tab w:val="num" w:pos="3600"/>
        </w:tabs>
        <w:ind w:left="3600" w:hanging="360"/>
      </w:pPr>
      <w:rPr>
        <w:rFonts w:ascii="Wingdings" w:hAnsi="Wingdings" w:hint="default"/>
      </w:rPr>
    </w:lvl>
    <w:lvl w:ilvl="5" w:tplc="687A858E" w:tentative="1">
      <w:start w:val="1"/>
      <w:numFmt w:val="bullet"/>
      <w:lvlText w:val=""/>
      <w:lvlJc w:val="left"/>
      <w:pPr>
        <w:tabs>
          <w:tab w:val="num" w:pos="4320"/>
        </w:tabs>
        <w:ind w:left="4320" w:hanging="360"/>
      </w:pPr>
      <w:rPr>
        <w:rFonts w:ascii="Wingdings" w:hAnsi="Wingdings" w:hint="default"/>
      </w:rPr>
    </w:lvl>
    <w:lvl w:ilvl="6" w:tplc="0D70BC3E" w:tentative="1">
      <w:start w:val="1"/>
      <w:numFmt w:val="bullet"/>
      <w:lvlText w:val=""/>
      <w:lvlJc w:val="left"/>
      <w:pPr>
        <w:tabs>
          <w:tab w:val="num" w:pos="5040"/>
        </w:tabs>
        <w:ind w:left="5040" w:hanging="360"/>
      </w:pPr>
      <w:rPr>
        <w:rFonts w:ascii="Wingdings" w:hAnsi="Wingdings" w:hint="default"/>
      </w:rPr>
    </w:lvl>
    <w:lvl w:ilvl="7" w:tplc="1E9462F2" w:tentative="1">
      <w:start w:val="1"/>
      <w:numFmt w:val="bullet"/>
      <w:lvlText w:val=""/>
      <w:lvlJc w:val="left"/>
      <w:pPr>
        <w:tabs>
          <w:tab w:val="num" w:pos="5760"/>
        </w:tabs>
        <w:ind w:left="5760" w:hanging="360"/>
      </w:pPr>
      <w:rPr>
        <w:rFonts w:ascii="Wingdings" w:hAnsi="Wingdings" w:hint="default"/>
      </w:rPr>
    </w:lvl>
    <w:lvl w:ilvl="8" w:tplc="55D2CDB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95F2FDD"/>
    <w:multiLevelType w:val="hybridMultilevel"/>
    <w:tmpl w:val="D74864BE"/>
    <w:lvl w:ilvl="0" w:tplc="3976CE0A">
      <w:start w:val="1"/>
      <w:numFmt w:val="bullet"/>
      <w:lvlText w:val=""/>
      <w:lvlJc w:val="left"/>
      <w:pPr>
        <w:tabs>
          <w:tab w:val="num" w:pos="720"/>
        </w:tabs>
        <w:ind w:left="720" w:hanging="360"/>
      </w:pPr>
      <w:rPr>
        <w:rFonts w:ascii="Wingdings" w:hAnsi="Wingdings" w:hint="default"/>
      </w:rPr>
    </w:lvl>
    <w:lvl w:ilvl="1" w:tplc="09DC7DE6" w:tentative="1">
      <w:start w:val="1"/>
      <w:numFmt w:val="bullet"/>
      <w:lvlText w:val=""/>
      <w:lvlJc w:val="left"/>
      <w:pPr>
        <w:tabs>
          <w:tab w:val="num" w:pos="1440"/>
        </w:tabs>
        <w:ind w:left="1440" w:hanging="360"/>
      </w:pPr>
      <w:rPr>
        <w:rFonts w:ascii="Wingdings" w:hAnsi="Wingdings" w:hint="default"/>
      </w:rPr>
    </w:lvl>
    <w:lvl w:ilvl="2" w:tplc="6EDC6A76" w:tentative="1">
      <w:start w:val="1"/>
      <w:numFmt w:val="bullet"/>
      <w:lvlText w:val=""/>
      <w:lvlJc w:val="left"/>
      <w:pPr>
        <w:tabs>
          <w:tab w:val="num" w:pos="2160"/>
        </w:tabs>
        <w:ind w:left="2160" w:hanging="360"/>
      </w:pPr>
      <w:rPr>
        <w:rFonts w:ascii="Wingdings" w:hAnsi="Wingdings" w:hint="default"/>
      </w:rPr>
    </w:lvl>
    <w:lvl w:ilvl="3" w:tplc="907C5328" w:tentative="1">
      <w:start w:val="1"/>
      <w:numFmt w:val="bullet"/>
      <w:lvlText w:val=""/>
      <w:lvlJc w:val="left"/>
      <w:pPr>
        <w:tabs>
          <w:tab w:val="num" w:pos="2880"/>
        </w:tabs>
        <w:ind w:left="2880" w:hanging="360"/>
      </w:pPr>
      <w:rPr>
        <w:rFonts w:ascii="Wingdings" w:hAnsi="Wingdings" w:hint="default"/>
      </w:rPr>
    </w:lvl>
    <w:lvl w:ilvl="4" w:tplc="B4E8C394" w:tentative="1">
      <w:start w:val="1"/>
      <w:numFmt w:val="bullet"/>
      <w:lvlText w:val=""/>
      <w:lvlJc w:val="left"/>
      <w:pPr>
        <w:tabs>
          <w:tab w:val="num" w:pos="3600"/>
        </w:tabs>
        <w:ind w:left="3600" w:hanging="360"/>
      </w:pPr>
      <w:rPr>
        <w:rFonts w:ascii="Wingdings" w:hAnsi="Wingdings" w:hint="default"/>
      </w:rPr>
    </w:lvl>
    <w:lvl w:ilvl="5" w:tplc="7EFADD6C" w:tentative="1">
      <w:start w:val="1"/>
      <w:numFmt w:val="bullet"/>
      <w:lvlText w:val=""/>
      <w:lvlJc w:val="left"/>
      <w:pPr>
        <w:tabs>
          <w:tab w:val="num" w:pos="4320"/>
        </w:tabs>
        <w:ind w:left="4320" w:hanging="360"/>
      </w:pPr>
      <w:rPr>
        <w:rFonts w:ascii="Wingdings" w:hAnsi="Wingdings" w:hint="default"/>
      </w:rPr>
    </w:lvl>
    <w:lvl w:ilvl="6" w:tplc="0D747DBC" w:tentative="1">
      <w:start w:val="1"/>
      <w:numFmt w:val="bullet"/>
      <w:lvlText w:val=""/>
      <w:lvlJc w:val="left"/>
      <w:pPr>
        <w:tabs>
          <w:tab w:val="num" w:pos="5040"/>
        </w:tabs>
        <w:ind w:left="5040" w:hanging="360"/>
      </w:pPr>
      <w:rPr>
        <w:rFonts w:ascii="Wingdings" w:hAnsi="Wingdings" w:hint="default"/>
      </w:rPr>
    </w:lvl>
    <w:lvl w:ilvl="7" w:tplc="FAE6F2CC" w:tentative="1">
      <w:start w:val="1"/>
      <w:numFmt w:val="bullet"/>
      <w:lvlText w:val=""/>
      <w:lvlJc w:val="left"/>
      <w:pPr>
        <w:tabs>
          <w:tab w:val="num" w:pos="5760"/>
        </w:tabs>
        <w:ind w:left="5760" w:hanging="360"/>
      </w:pPr>
      <w:rPr>
        <w:rFonts w:ascii="Wingdings" w:hAnsi="Wingdings" w:hint="default"/>
      </w:rPr>
    </w:lvl>
    <w:lvl w:ilvl="8" w:tplc="064E27C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FA4C4B"/>
    <w:multiLevelType w:val="hybridMultilevel"/>
    <w:tmpl w:val="348E91F4"/>
    <w:lvl w:ilvl="0" w:tplc="0E8A3096">
      <w:numFmt w:val="bullet"/>
      <w:lvlText w:val="•"/>
      <w:lvlJc w:val="left"/>
      <w:pPr>
        <w:ind w:left="1068" w:hanging="708"/>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D1749F5"/>
    <w:multiLevelType w:val="hybridMultilevel"/>
    <w:tmpl w:val="24288F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2EC1562"/>
    <w:multiLevelType w:val="hybridMultilevel"/>
    <w:tmpl w:val="B0B46C9A"/>
    <w:lvl w:ilvl="0" w:tplc="D88E3C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A2A65E6"/>
    <w:multiLevelType w:val="hybridMultilevel"/>
    <w:tmpl w:val="BB426D90"/>
    <w:lvl w:ilvl="0" w:tplc="37FC1750">
      <w:start w:val="1"/>
      <w:numFmt w:val="decimal"/>
      <w:lvlText w:val="%1-"/>
      <w:lvlJc w:val="left"/>
      <w:pPr>
        <w:ind w:left="720" w:hanging="360"/>
      </w:pPr>
      <w:rPr>
        <w:rFonts w:hint="default"/>
      </w:rPr>
    </w:lvl>
    <w:lvl w:ilvl="1" w:tplc="9AA66B3C">
      <w:start w:val="1"/>
      <w:numFmt w:val="lowerRoman"/>
      <w:lvlText w:val="%2)"/>
      <w:lvlJc w:val="left"/>
      <w:pPr>
        <w:ind w:left="1800" w:hanging="7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D3656C5"/>
    <w:multiLevelType w:val="hybridMultilevel"/>
    <w:tmpl w:val="755CA592"/>
    <w:lvl w:ilvl="0" w:tplc="079A171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48"/>
  </w:num>
  <w:num w:numId="3">
    <w:abstractNumId w:val="32"/>
  </w:num>
  <w:num w:numId="4">
    <w:abstractNumId w:val="20"/>
  </w:num>
  <w:num w:numId="5">
    <w:abstractNumId w:val="25"/>
  </w:num>
  <w:num w:numId="6">
    <w:abstractNumId w:val="46"/>
  </w:num>
  <w:num w:numId="7">
    <w:abstractNumId w:val="38"/>
  </w:num>
  <w:num w:numId="8">
    <w:abstractNumId w:val="24"/>
  </w:num>
  <w:num w:numId="9">
    <w:abstractNumId w:val="5"/>
  </w:num>
  <w:num w:numId="10">
    <w:abstractNumId w:val="0"/>
  </w:num>
  <w:num w:numId="11">
    <w:abstractNumId w:val="11"/>
  </w:num>
  <w:num w:numId="12">
    <w:abstractNumId w:val="40"/>
  </w:num>
  <w:num w:numId="13">
    <w:abstractNumId w:val="47"/>
  </w:num>
  <w:num w:numId="14">
    <w:abstractNumId w:val="6"/>
  </w:num>
  <w:num w:numId="15">
    <w:abstractNumId w:val="2"/>
  </w:num>
  <w:num w:numId="16">
    <w:abstractNumId w:val="28"/>
  </w:num>
  <w:num w:numId="17">
    <w:abstractNumId w:val="27"/>
  </w:num>
  <w:num w:numId="18">
    <w:abstractNumId w:val="13"/>
  </w:num>
  <w:num w:numId="19">
    <w:abstractNumId w:val="12"/>
  </w:num>
  <w:num w:numId="20">
    <w:abstractNumId w:val="23"/>
  </w:num>
  <w:num w:numId="21">
    <w:abstractNumId w:val="19"/>
  </w:num>
  <w:num w:numId="22">
    <w:abstractNumId w:val="4"/>
  </w:num>
  <w:num w:numId="23">
    <w:abstractNumId w:val="14"/>
  </w:num>
  <w:num w:numId="24">
    <w:abstractNumId w:val="26"/>
  </w:num>
  <w:num w:numId="25">
    <w:abstractNumId w:val="35"/>
  </w:num>
  <w:num w:numId="26">
    <w:abstractNumId w:val="42"/>
  </w:num>
  <w:num w:numId="27">
    <w:abstractNumId w:val="43"/>
  </w:num>
  <w:num w:numId="28">
    <w:abstractNumId w:val="9"/>
  </w:num>
  <w:num w:numId="29">
    <w:abstractNumId w:val="29"/>
  </w:num>
  <w:num w:numId="30">
    <w:abstractNumId w:val="45"/>
  </w:num>
  <w:num w:numId="31">
    <w:abstractNumId w:val="36"/>
  </w:num>
  <w:num w:numId="32">
    <w:abstractNumId w:val="18"/>
  </w:num>
  <w:num w:numId="33">
    <w:abstractNumId w:val="15"/>
  </w:num>
  <w:num w:numId="34">
    <w:abstractNumId w:val="17"/>
  </w:num>
  <w:num w:numId="35">
    <w:abstractNumId w:val="30"/>
  </w:num>
  <w:num w:numId="36">
    <w:abstractNumId w:val="34"/>
  </w:num>
  <w:num w:numId="37">
    <w:abstractNumId w:val="31"/>
  </w:num>
  <w:num w:numId="38">
    <w:abstractNumId w:val="1"/>
  </w:num>
  <w:num w:numId="39">
    <w:abstractNumId w:val="37"/>
  </w:num>
  <w:num w:numId="40">
    <w:abstractNumId w:val="41"/>
  </w:num>
  <w:num w:numId="41">
    <w:abstractNumId w:val="22"/>
  </w:num>
  <w:num w:numId="42">
    <w:abstractNumId w:val="3"/>
  </w:num>
  <w:num w:numId="43">
    <w:abstractNumId w:val="7"/>
  </w:num>
  <w:num w:numId="44">
    <w:abstractNumId w:val="10"/>
  </w:num>
  <w:num w:numId="45">
    <w:abstractNumId w:val="21"/>
  </w:num>
  <w:num w:numId="46">
    <w:abstractNumId w:val="30"/>
  </w:num>
  <w:num w:numId="47">
    <w:abstractNumId w:val="16"/>
  </w:num>
  <w:num w:numId="48">
    <w:abstractNumId w:val="33"/>
  </w:num>
  <w:num w:numId="49">
    <w:abstractNumId w:val="39"/>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B4C"/>
    <w:rsid w:val="0000092F"/>
    <w:rsid w:val="0000571E"/>
    <w:rsid w:val="0000601C"/>
    <w:rsid w:val="00010041"/>
    <w:rsid w:val="000101BD"/>
    <w:rsid w:val="000215EF"/>
    <w:rsid w:val="00022D3C"/>
    <w:rsid w:val="00032432"/>
    <w:rsid w:val="00032CBD"/>
    <w:rsid w:val="00033EA0"/>
    <w:rsid w:val="00036855"/>
    <w:rsid w:val="000414CE"/>
    <w:rsid w:val="000438C4"/>
    <w:rsid w:val="00052552"/>
    <w:rsid w:val="000531AA"/>
    <w:rsid w:val="000546FC"/>
    <w:rsid w:val="00054AD1"/>
    <w:rsid w:val="00057958"/>
    <w:rsid w:val="000606DB"/>
    <w:rsid w:val="000622B1"/>
    <w:rsid w:val="00062918"/>
    <w:rsid w:val="00071852"/>
    <w:rsid w:val="0007787D"/>
    <w:rsid w:val="0008119C"/>
    <w:rsid w:val="0008136B"/>
    <w:rsid w:val="00082B64"/>
    <w:rsid w:val="00082E8C"/>
    <w:rsid w:val="00085F07"/>
    <w:rsid w:val="00091763"/>
    <w:rsid w:val="00091F02"/>
    <w:rsid w:val="000925D4"/>
    <w:rsid w:val="00093385"/>
    <w:rsid w:val="000A01D1"/>
    <w:rsid w:val="000B1038"/>
    <w:rsid w:val="000B2786"/>
    <w:rsid w:val="000B2B3D"/>
    <w:rsid w:val="000B7607"/>
    <w:rsid w:val="000C1C63"/>
    <w:rsid w:val="000D2FE3"/>
    <w:rsid w:val="000D33A7"/>
    <w:rsid w:val="000D6B44"/>
    <w:rsid w:val="000E1E2C"/>
    <w:rsid w:val="000E5B1C"/>
    <w:rsid w:val="000F380E"/>
    <w:rsid w:val="000F76CE"/>
    <w:rsid w:val="00100180"/>
    <w:rsid w:val="00102021"/>
    <w:rsid w:val="0010600E"/>
    <w:rsid w:val="00106611"/>
    <w:rsid w:val="00106FC8"/>
    <w:rsid w:val="0010749F"/>
    <w:rsid w:val="001272CE"/>
    <w:rsid w:val="00134257"/>
    <w:rsid w:val="00144B1E"/>
    <w:rsid w:val="001515FA"/>
    <w:rsid w:val="00155FC0"/>
    <w:rsid w:val="00156C0C"/>
    <w:rsid w:val="001618E0"/>
    <w:rsid w:val="00162D36"/>
    <w:rsid w:val="00163446"/>
    <w:rsid w:val="00164310"/>
    <w:rsid w:val="001709CF"/>
    <w:rsid w:val="00171C14"/>
    <w:rsid w:val="00171C72"/>
    <w:rsid w:val="0018193E"/>
    <w:rsid w:val="00181F60"/>
    <w:rsid w:val="001835D7"/>
    <w:rsid w:val="00186552"/>
    <w:rsid w:val="00190002"/>
    <w:rsid w:val="001915FF"/>
    <w:rsid w:val="0019216C"/>
    <w:rsid w:val="00197BF2"/>
    <w:rsid w:val="001A467E"/>
    <w:rsid w:val="001A7931"/>
    <w:rsid w:val="001B0DD5"/>
    <w:rsid w:val="001B41A1"/>
    <w:rsid w:val="001C0A77"/>
    <w:rsid w:val="001C3E32"/>
    <w:rsid w:val="001C6E30"/>
    <w:rsid w:val="001C7742"/>
    <w:rsid w:val="001D545F"/>
    <w:rsid w:val="001D7632"/>
    <w:rsid w:val="001F5E8A"/>
    <w:rsid w:val="001F67D6"/>
    <w:rsid w:val="00201A0B"/>
    <w:rsid w:val="002038E0"/>
    <w:rsid w:val="002118EC"/>
    <w:rsid w:val="00212B1D"/>
    <w:rsid w:val="00234A33"/>
    <w:rsid w:val="00234DBC"/>
    <w:rsid w:val="002406BF"/>
    <w:rsid w:val="0024617B"/>
    <w:rsid w:val="002501D2"/>
    <w:rsid w:val="00250F92"/>
    <w:rsid w:val="002526CA"/>
    <w:rsid w:val="002535F2"/>
    <w:rsid w:val="00253A7C"/>
    <w:rsid w:val="00254419"/>
    <w:rsid w:val="0025483E"/>
    <w:rsid w:val="00256733"/>
    <w:rsid w:val="00260D5C"/>
    <w:rsid w:val="002615AD"/>
    <w:rsid w:val="00264328"/>
    <w:rsid w:val="00265164"/>
    <w:rsid w:val="00281D49"/>
    <w:rsid w:val="00285E91"/>
    <w:rsid w:val="0029219F"/>
    <w:rsid w:val="002A2F99"/>
    <w:rsid w:val="002A36C5"/>
    <w:rsid w:val="002B0DFF"/>
    <w:rsid w:val="002C023F"/>
    <w:rsid w:val="002C42A3"/>
    <w:rsid w:val="002C61E2"/>
    <w:rsid w:val="002D2E79"/>
    <w:rsid w:val="002D2E98"/>
    <w:rsid w:val="002E0103"/>
    <w:rsid w:val="002E1F9C"/>
    <w:rsid w:val="002E59D7"/>
    <w:rsid w:val="002E7841"/>
    <w:rsid w:val="002F3252"/>
    <w:rsid w:val="002F6476"/>
    <w:rsid w:val="002F7518"/>
    <w:rsid w:val="00300745"/>
    <w:rsid w:val="00302237"/>
    <w:rsid w:val="00305CC0"/>
    <w:rsid w:val="0031211E"/>
    <w:rsid w:val="00312320"/>
    <w:rsid w:val="00312E21"/>
    <w:rsid w:val="00314B0C"/>
    <w:rsid w:val="00316A63"/>
    <w:rsid w:val="003171FC"/>
    <w:rsid w:val="0032176E"/>
    <w:rsid w:val="00330062"/>
    <w:rsid w:val="003323E3"/>
    <w:rsid w:val="003347E1"/>
    <w:rsid w:val="00334E06"/>
    <w:rsid w:val="00335108"/>
    <w:rsid w:val="00337EBC"/>
    <w:rsid w:val="003432B8"/>
    <w:rsid w:val="00343A23"/>
    <w:rsid w:val="00352672"/>
    <w:rsid w:val="0035385A"/>
    <w:rsid w:val="00353AE7"/>
    <w:rsid w:val="00356A98"/>
    <w:rsid w:val="00356F20"/>
    <w:rsid w:val="003736F7"/>
    <w:rsid w:val="00375772"/>
    <w:rsid w:val="00375F24"/>
    <w:rsid w:val="0037723A"/>
    <w:rsid w:val="00377CE0"/>
    <w:rsid w:val="00380790"/>
    <w:rsid w:val="00383768"/>
    <w:rsid w:val="00385E72"/>
    <w:rsid w:val="003A7369"/>
    <w:rsid w:val="003B0D10"/>
    <w:rsid w:val="003B171E"/>
    <w:rsid w:val="003B1854"/>
    <w:rsid w:val="003B3F63"/>
    <w:rsid w:val="003B406D"/>
    <w:rsid w:val="003B4BAD"/>
    <w:rsid w:val="003B4FEB"/>
    <w:rsid w:val="003B604B"/>
    <w:rsid w:val="003C08C9"/>
    <w:rsid w:val="003C2E25"/>
    <w:rsid w:val="003C7140"/>
    <w:rsid w:val="003D1CFA"/>
    <w:rsid w:val="003D2273"/>
    <w:rsid w:val="003D3E76"/>
    <w:rsid w:val="003D5171"/>
    <w:rsid w:val="003E27E7"/>
    <w:rsid w:val="003F0289"/>
    <w:rsid w:val="003F7A6C"/>
    <w:rsid w:val="0040547F"/>
    <w:rsid w:val="00406851"/>
    <w:rsid w:val="00410082"/>
    <w:rsid w:val="00420593"/>
    <w:rsid w:val="00425812"/>
    <w:rsid w:val="004258FA"/>
    <w:rsid w:val="00431D75"/>
    <w:rsid w:val="00432123"/>
    <w:rsid w:val="0043222A"/>
    <w:rsid w:val="0043309D"/>
    <w:rsid w:val="0044120D"/>
    <w:rsid w:val="004418A2"/>
    <w:rsid w:val="0044224E"/>
    <w:rsid w:val="00446A2E"/>
    <w:rsid w:val="00446E63"/>
    <w:rsid w:val="0045231E"/>
    <w:rsid w:val="004554F7"/>
    <w:rsid w:val="0046187B"/>
    <w:rsid w:val="00461B2D"/>
    <w:rsid w:val="004620C5"/>
    <w:rsid w:val="0047085A"/>
    <w:rsid w:val="00470B64"/>
    <w:rsid w:val="004716DA"/>
    <w:rsid w:val="004912EE"/>
    <w:rsid w:val="00494458"/>
    <w:rsid w:val="004945CE"/>
    <w:rsid w:val="004951D4"/>
    <w:rsid w:val="00495381"/>
    <w:rsid w:val="00495CD7"/>
    <w:rsid w:val="004A6D2F"/>
    <w:rsid w:val="004B067B"/>
    <w:rsid w:val="004B5B64"/>
    <w:rsid w:val="004C3FBF"/>
    <w:rsid w:val="004C6016"/>
    <w:rsid w:val="004C7C17"/>
    <w:rsid w:val="004D4C42"/>
    <w:rsid w:val="004E02F0"/>
    <w:rsid w:val="004E290A"/>
    <w:rsid w:val="004E740E"/>
    <w:rsid w:val="004F004F"/>
    <w:rsid w:val="004F0D51"/>
    <w:rsid w:val="004F3E12"/>
    <w:rsid w:val="004F4A01"/>
    <w:rsid w:val="00502E55"/>
    <w:rsid w:val="00503CD6"/>
    <w:rsid w:val="00503D25"/>
    <w:rsid w:val="00504F28"/>
    <w:rsid w:val="00507A9A"/>
    <w:rsid w:val="0051536B"/>
    <w:rsid w:val="00515C33"/>
    <w:rsid w:val="00522EF2"/>
    <w:rsid w:val="00527CDC"/>
    <w:rsid w:val="005429F1"/>
    <w:rsid w:val="005436DF"/>
    <w:rsid w:val="00550BFD"/>
    <w:rsid w:val="005513EE"/>
    <w:rsid w:val="00551A5B"/>
    <w:rsid w:val="00556887"/>
    <w:rsid w:val="005575A2"/>
    <w:rsid w:val="0056124B"/>
    <w:rsid w:val="00571BCB"/>
    <w:rsid w:val="0057293C"/>
    <w:rsid w:val="00581530"/>
    <w:rsid w:val="00591EA4"/>
    <w:rsid w:val="005A0F1E"/>
    <w:rsid w:val="005A1819"/>
    <w:rsid w:val="005B4F41"/>
    <w:rsid w:val="005C3D91"/>
    <w:rsid w:val="005C5646"/>
    <w:rsid w:val="005C6F7B"/>
    <w:rsid w:val="005D067E"/>
    <w:rsid w:val="005D1445"/>
    <w:rsid w:val="005D3A05"/>
    <w:rsid w:val="005D6568"/>
    <w:rsid w:val="005E253B"/>
    <w:rsid w:val="005E52FC"/>
    <w:rsid w:val="005E7018"/>
    <w:rsid w:val="005E7628"/>
    <w:rsid w:val="006160F9"/>
    <w:rsid w:val="00623C59"/>
    <w:rsid w:val="00626816"/>
    <w:rsid w:val="006317D5"/>
    <w:rsid w:val="00633122"/>
    <w:rsid w:val="00637AE6"/>
    <w:rsid w:val="00642B20"/>
    <w:rsid w:val="006470DF"/>
    <w:rsid w:val="00653511"/>
    <w:rsid w:val="0066224E"/>
    <w:rsid w:val="00663071"/>
    <w:rsid w:val="00663120"/>
    <w:rsid w:val="00664538"/>
    <w:rsid w:val="00666C04"/>
    <w:rsid w:val="0067013E"/>
    <w:rsid w:val="00672288"/>
    <w:rsid w:val="006811A3"/>
    <w:rsid w:val="00682541"/>
    <w:rsid w:val="0068393D"/>
    <w:rsid w:val="00685292"/>
    <w:rsid w:val="00685F3A"/>
    <w:rsid w:val="00690296"/>
    <w:rsid w:val="00694EBB"/>
    <w:rsid w:val="0069635C"/>
    <w:rsid w:val="00697DC6"/>
    <w:rsid w:val="006A117F"/>
    <w:rsid w:val="006B48E0"/>
    <w:rsid w:val="006B4E39"/>
    <w:rsid w:val="006C0251"/>
    <w:rsid w:val="006C7792"/>
    <w:rsid w:val="006D4001"/>
    <w:rsid w:val="006E6A52"/>
    <w:rsid w:val="006F2CD3"/>
    <w:rsid w:val="006F57AE"/>
    <w:rsid w:val="006F6CFA"/>
    <w:rsid w:val="007006D2"/>
    <w:rsid w:val="00701563"/>
    <w:rsid w:val="0070290C"/>
    <w:rsid w:val="00705429"/>
    <w:rsid w:val="007077F7"/>
    <w:rsid w:val="00707A47"/>
    <w:rsid w:val="00713F17"/>
    <w:rsid w:val="0071734F"/>
    <w:rsid w:val="007227D6"/>
    <w:rsid w:val="0072312C"/>
    <w:rsid w:val="007268C6"/>
    <w:rsid w:val="007275D9"/>
    <w:rsid w:val="00736B31"/>
    <w:rsid w:val="00736D5C"/>
    <w:rsid w:val="007379F8"/>
    <w:rsid w:val="00743D3E"/>
    <w:rsid w:val="00745451"/>
    <w:rsid w:val="007474DC"/>
    <w:rsid w:val="00747692"/>
    <w:rsid w:val="007505A2"/>
    <w:rsid w:val="00752834"/>
    <w:rsid w:val="00753BC5"/>
    <w:rsid w:val="007541A9"/>
    <w:rsid w:val="0076028B"/>
    <w:rsid w:val="007639E0"/>
    <w:rsid w:val="00763B81"/>
    <w:rsid w:val="00771250"/>
    <w:rsid w:val="007712CE"/>
    <w:rsid w:val="00771865"/>
    <w:rsid w:val="00771B7A"/>
    <w:rsid w:val="007820EF"/>
    <w:rsid w:val="00782372"/>
    <w:rsid w:val="00791233"/>
    <w:rsid w:val="00792D0F"/>
    <w:rsid w:val="007A1F63"/>
    <w:rsid w:val="007B20D6"/>
    <w:rsid w:val="007B32FF"/>
    <w:rsid w:val="007B3514"/>
    <w:rsid w:val="007B61B2"/>
    <w:rsid w:val="007C1A66"/>
    <w:rsid w:val="007C2761"/>
    <w:rsid w:val="007D16B1"/>
    <w:rsid w:val="007D42B0"/>
    <w:rsid w:val="007D686A"/>
    <w:rsid w:val="007E1646"/>
    <w:rsid w:val="007F6449"/>
    <w:rsid w:val="007F7A7C"/>
    <w:rsid w:val="00801712"/>
    <w:rsid w:val="00804BB3"/>
    <w:rsid w:val="00805F4F"/>
    <w:rsid w:val="00806F2C"/>
    <w:rsid w:val="008103F1"/>
    <w:rsid w:val="00811795"/>
    <w:rsid w:val="008153F6"/>
    <w:rsid w:val="00820A16"/>
    <w:rsid w:val="00820CE7"/>
    <w:rsid w:val="00821BE8"/>
    <w:rsid w:val="008256F8"/>
    <w:rsid w:val="0083609A"/>
    <w:rsid w:val="00840BEE"/>
    <w:rsid w:val="00842FE9"/>
    <w:rsid w:val="00844D57"/>
    <w:rsid w:val="0085539A"/>
    <w:rsid w:val="00863008"/>
    <w:rsid w:val="00874D9D"/>
    <w:rsid w:val="00884964"/>
    <w:rsid w:val="0088756A"/>
    <w:rsid w:val="0089488D"/>
    <w:rsid w:val="008B40C9"/>
    <w:rsid w:val="008C6951"/>
    <w:rsid w:val="008C760F"/>
    <w:rsid w:val="008D2571"/>
    <w:rsid w:val="008D4640"/>
    <w:rsid w:val="008D4F2F"/>
    <w:rsid w:val="008D65DF"/>
    <w:rsid w:val="008E0DD4"/>
    <w:rsid w:val="008E21FF"/>
    <w:rsid w:val="008E5A10"/>
    <w:rsid w:val="008F0D7D"/>
    <w:rsid w:val="008F1550"/>
    <w:rsid w:val="0090063D"/>
    <w:rsid w:val="009006D2"/>
    <w:rsid w:val="0090681C"/>
    <w:rsid w:val="00906C63"/>
    <w:rsid w:val="00911A79"/>
    <w:rsid w:val="00915681"/>
    <w:rsid w:val="009201BF"/>
    <w:rsid w:val="009235E9"/>
    <w:rsid w:val="00924788"/>
    <w:rsid w:val="00932193"/>
    <w:rsid w:val="0093365F"/>
    <w:rsid w:val="00934109"/>
    <w:rsid w:val="00934B60"/>
    <w:rsid w:val="00936C10"/>
    <w:rsid w:val="0094220D"/>
    <w:rsid w:val="00943355"/>
    <w:rsid w:val="009474CC"/>
    <w:rsid w:val="00947D13"/>
    <w:rsid w:val="00951F0A"/>
    <w:rsid w:val="0095247E"/>
    <w:rsid w:val="009555DD"/>
    <w:rsid w:val="0095566E"/>
    <w:rsid w:val="00963C2B"/>
    <w:rsid w:val="00972C92"/>
    <w:rsid w:val="00976E79"/>
    <w:rsid w:val="009809F2"/>
    <w:rsid w:val="00986E7D"/>
    <w:rsid w:val="009911C8"/>
    <w:rsid w:val="009933DA"/>
    <w:rsid w:val="00994868"/>
    <w:rsid w:val="00994B71"/>
    <w:rsid w:val="0099744C"/>
    <w:rsid w:val="009A3C21"/>
    <w:rsid w:val="009A436C"/>
    <w:rsid w:val="009B45E7"/>
    <w:rsid w:val="009B6F79"/>
    <w:rsid w:val="009B7B5F"/>
    <w:rsid w:val="009C1216"/>
    <w:rsid w:val="009D0756"/>
    <w:rsid w:val="009D4622"/>
    <w:rsid w:val="009D6CB0"/>
    <w:rsid w:val="009E2B81"/>
    <w:rsid w:val="009F35B3"/>
    <w:rsid w:val="009F3A84"/>
    <w:rsid w:val="009F5663"/>
    <w:rsid w:val="00A0161C"/>
    <w:rsid w:val="00A01E60"/>
    <w:rsid w:val="00A11A04"/>
    <w:rsid w:val="00A16EDC"/>
    <w:rsid w:val="00A276AD"/>
    <w:rsid w:val="00A3471D"/>
    <w:rsid w:val="00A369F3"/>
    <w:rsid w:val="00A4493B"/>
    <w:rsid w:val="00A458B1"/>
    <w:rsid w:val="00A50AFE"/>
    <w:rsid w:val="00A5502E"/>
    <w:rsid w:val="00A57542"/>
    <w:rsid w:val="00A6218C"/>
    <w:rsid w:val="00A65F7D"/>
    <w:rsid w:val="00A725C2"/>
    <w:rsid w:val="00A76800"/>
    <w:rsid w:val="00A82FAD"/>
    <w:rsid w:val="00A8317C"/>
    <w:rsid w:val="00A90710"/>
    <w:rsid w:val="00A9188C"/>
    <w:rsid w:val="00A9435D"/>
    <w:rsid w:val="00A94B61"/>
    <w:rsid w:val="00A95F1F"/>
    <w:rsid w:val="00AC0CDF"/>
    <w:rsid w:val="00AD5A4A"/>
    <w:rsid w:val="00AE18E4"/>
    <w:rsid w:val="00AE2249"/>
    <w:rsid w:val="00AE5E93"/>
    <w:rsid w:val="00AE6BF9"/>
    <w:rsid w:val="00AF2752"/>
    <w:rsid w:val="00AF3EC5"/>
    <w:rsid w:val="00B03678"/>
    <w:rsid w:val="00B03931"/>
    <w:rsid w:val="00B06DD3"/>
    <w:rsid w:val="00B06EE9"/>
    <w:rsid w:val="00B11640"/>
    <w:rsid w:val="00B23A0A"/>
    <w:rsid w:val="00B30879"/>
    <w:rsid w:val="00B35F22"/>
    <w:rsid w:val="00B37288"/>
    <w:rsid w:val="00B40DD6"/>
    <w:rsid w:val="00B4246B"/>
    <w:rsid w:val="00B46043"/>
    <w:rsid w:val="00B50BFD"/>
    <w:rsid w:val="00B536FA"/>
    <w:rsid w:val="00B57175"/>
    <w:rsid w:val="00B62102"/>
    <w:rsid w:val="00B63DC4"/>
    <w:rsid w:val="00B67271"/>
    <w:rsid w:val="00B700D8"/>
    <w:rsid w:val="00B72B60"/>
    <w:rsid w:val="00B73771"/>
    <w:rsid w:val="00B75180"/>
    <w:rsid w:val="00B87185"/>
    <w:rsid w:val="00BA1DBB"/>
    <w:rsid w:val="00BA39E7"/>
    <w:rsid w:val="00BA4F46"/>
    <w:rsid w:val="00BA6141"/>
    <w:rsid w:val="00BA65EE"/>
    <w:rsid w:val="00BA6965"/>
    <w:rsid w:val="00BD008D"/>
    <w:rsid w:val="00BD2994"/>
    <w:rsid w:val="00BD487D"/>
    <w:rsid w:val="00BE2DCB"/>
    <w:rsid w:val="00BF133C"/>
    <w:rsid w:val="00BF1C01"/>
    <w:rsid w:val="00BF1EA9"/>
    <w:rsid w:val="00BF2754"/>
    <w:rsid w:val="00BF5B1A"/>
    <w:rsid w:val="00C07576"/>
    <w:rsid w:val="00C07DF1"/>
    <w:rsid w:val="00C101B1"/>
    <w:rsid w:val="00C12395"/>
    <w:rsid w:val="00C15686"/>
    <w:rsid w:val="00C21B1E"/>
    <w:rsid w:val="00C223F9"/>
    <w:rsid w:val="00C25777"/>
    <w:rsid w:val="00C26FD8"/>
    <w:rsid w:val="00C33B74"/>
    <w:rsid w:val="00C42408"/>
    <w:rsid w:val="00C42997"/>
    <w:rsid w:val="00C42EE4"/>
    <w:rsid w:val="00C436EA"/>
    <w:rsid w:val="00C43919"/>
    <w:rsid w:val="00C4532F"/>
    <w:rsid w:val="00C45782"/>
    <w:rsid w:val="00C4693A"/>
    <w:rsid w:val="00C51C91"/>
    <w:rsid w:val="00C53322"/>
    <w:rsid w:val="00C57620"/>
    <w:rsid w:val="00C57716"/>
    <w:rsid w:val="00C6094B"/>
    <w:rsid w:val="00C64CA9"/>
    <w:rsid w:val="00C75197"/>
    <w:rsid w:val="00C76BE4"/>
    <w:rsid w:val="00C76C65"/>
    <w:rsid w:val="00C77B1C"/>
    <w:rsid w:val="00C81500"/>
    <w:rsid w:val="00C8194C"/>
    <w:rsid w:val="00C835F5"/>
    <w:rsid w:val="00C87EA8"/>
    <w:rsid w:val="00C90FDF"/>
    <w:rsid w:val="00C91962"/>
    <w:rsid w:val="00CA3EC5"/>
    <w:rsid w:val="00CA52AE"/>
    <w:rsid w:val="00CB2BAA"/>
    <w:rsid w:val="00CB3865"/>
    <w:rsid w:val="00CC5B83"/>
    <w:rsid w:val="00CD0D6B"/>
    <w:rsid w:val="00CD5126"/>
    <w:rsid w:val="00CD6C84"/>
    <w:rsid w:val="00CE03C5"/>
    <w:rsid w:val="00CE0C03"/>
    <w:rsid w:val="00CE3D2A"/>
    <w:rsid w:val="00CE43B5"/>
    <w:rsid w:val="00CE54DF"/>
    <w:rsid w:val="00CF0B1B"/>
    <w:rsid w:val="00CF1669"/>
    <w:rsid w:val="00CF2588"/>
    <w:rsid w:val="00CF4AF4"/>
    <w:rsid w:val="00CF5E11"/>
    <w:rsid w:val="00CF6A1B"/>
    <w:rsid w:val="00D0755E"/>
    <w:rsid w:val="00D113F9"/>
    <w:rsid w:val="00D15A84"/>
    <w:rsid w:val="00D16C5C"/>
    <w:rsid w:val="00D37567"/>
    <w:rsid w:val="00D420BE"/>
    <w:rsid w:val="00D4496A"/>
    <w:rsid w:val="00D46ECE"/>
    <w:rsid w:val="00D471B5"/>
    <w:rsid w:val="00D50492"/>
    <w:rsid w:val="00D6373D"/>
    <w:rsid w:val="00D703C8"/>
    <w:rsid w:val="00D713A8"/>
    <w:rsid w:val="00D720B5"/>
    <w:rsid w:val="00D73CC8"/>
    <w:rsid w:val="00D73F91"/>
    <w:rsid w:val="00D77AE8"/>
    <w:rsid w:val="00D84270"/>
    <w:rsid w:val="00D848BC"/>
    <w:rsid w:val="00D90351"/>
    <w:rsid w:val="00D947F7"/>
    <w:rsid w:val="00D95757"/>
    <w:rsid w:val="00DA3665"/>
    <w:rsid w:val="00DA4149"/>
    <w:rsid w:val="00DB2D3A"/>
    <w:rsid w:val="00DB460E"/>
    <w:rsid w:val="00DB7518"/>
    <w:rsid w:val="00DB772E"/>
    <w:rsid w:val="00DC295C"/>
    <w:rsid w:val="00DC2E2B"/>
    <w:rsid w:val="00DC2E44"/>
    <w:rsid w:val="00DC6671"/>
    <w:rsid w:val="00DC6B0E"/>
    <w:rsid w:val="00DD1848"/>
    <w:rsid w:val="00DD4270"/>
    <w:rsid w:val="00DE2DFE"/>
    <w:rsid w:val="00DF1B90"/>
    <w:rsid w:val="00DF53C6"/>
    <w:rsid w:val="00DF696F"/>
    <w:rsid w:val="00DF7842"/>
    <w:rsid w:val="00E01366"/>
    <w:rsid w:val="00E0713E"/>
    <w:rsid w:val="00E116DC"/>
    <w:rsid w:val="00E11789"/>
    <w:rsid w:val="00E13CAA"/>
    <w:rsid w:val="00E14362"/>
    <w:rsid w:val="00E14A06"/>
    <w:rsid w:val="00E15616"/>
    <w:rsid w:val="00E16C2D"/>
    <w:rsid w:val="00E1769F"/>
    <w:rsid w:val="00E225A1"/>
    <w:rsid w:val="00E251F3"/>
    <w:rsid w:val="00E25B86"/>
    <w:rsid w:val="00E43696"/>
    <w:rsid w:val="00E440B7"/>
    <w:rsid w:val="00E4410C"/>
    <w:rsid w:val="00E526D6"/>
    <w:rsid w:val="00E61BA6"/>
    <w:rsid w:val="00E65315"/>
    <w:rsid w:val="00E67959"/>
    <w:rsid w:val="00E67DA3"/>
    <w:rsid w:val="00E67E59"/>
    <w:rsid w:val="00E718B2"/>
    <w:rsid w:val="00E7439A"/>
    <w:rsid w:val="00E748FC"/>
    <w:rsid w:val="00E83B4C"/>
    <w:rsid w:val="00E84524"/>
    <w:rsid w:val="00E84C77"/>
    <w:rsid w:val="00E861FC"/>
    <w:rsid w:val="00E94FC1"/>
    <w:rsid w:val="00E95E49"/>
    <w:rsid w:val="00EA0D76"/>
    <w:rsid w:val="00EA70C3"/>
    <w:rsid w:val="00EA76F1"/>
    <w:rsid w:val="00EB014C"/>
    <w:rsid w:val="00EB3599"/>
    <w:rsid w:val="00EC1B76"/>
    <w:rsid w:val="00EC203A"/>
    <w:rsid w:val="00ED29B9"/>
    <w:rsid w:val="00ED4D4A"/>
    <w:rsid w:val="00ED6172"/>
    <w:rsid w:val="00EE66F9"/>
    <w:rsid w:val="00EF5A0F"/>
    <w:rsid w:val="00EF6EA2"/>
    <w:rsid w:val="00F01096"/>
    <w:rsid w:val="00F06059"/>
    <w:rsid w:val="00F06EA5"/>
    <w:rsid w:val="00F1343D"/>
    <w:rsid w:val="00F16AB1"/>
    <w:rsid w:val="00F20B4F"/>
    <w:rsid w:val="00F27869"/>
    <w:rsid w:val="00F40EF5"/>
    <w:rsid w:val="00F42BD1"/>
    <w:rsid w:val="00F5223A"/>
    <w:rsid w:val="00F55FB1"/>
    <w:rsid w:val="00F572A1"/>
    <w:rsid w:val="00F62E3C"/>
    <w:rsid w:val="00F64069"/>
    <w:rsid w:val="00F7245E"/>
    <w:rsid w:val="00F73CE3"/>
    <w:rsid w:val="00F751B0"/>
    <w:rsid w:val="00F825B5"/>
    <w:rsid w:val="00F842AA"/>
    <w:rsid w:val="00F9219F"/>
    <w:rsid w:val="00F926B9"/>
    <w:rsid w:val="00FA1A61"/>
    <w:rsid w:val="00FA5A37"/>
    <w:rsid w:val="00FA5C08"/>
    <w:rsid w:val="00FA5E68"/>
    <w:rsid w:val="00FA5FF5"/>
    <w:rsid w:val="00FA7B37"/>
    <w:rsid w:val="00FB092E"/>
    <w:rsid w:val="00FB24AF"/>
    <w:rsid w:val="00FB2A8F"/>
    <w:rsid w:val="00FB2FB5"/>
    <w:rsid w:val="00FC040A"/>
    <w:rsid w:val="00FC3292"/>
    <w:rsid w:val="00FC384E"/>
    <w:rsid w:val="00FC5078"/>
    <w:rsid w:val="00FC5C33"/>
    <w:rsid w:val="00FC7E04"/>
    <w:rsid w:val="00FE2A85"/>
    <w:rsid w:val="00FE4912"/>
    <w:rsid w:val="00FF12F3"/>
    <w:rsid w:val="00FF1B38"/>
    <w:rsid w:val="00FF3DB3"/>
    <w:rsid w:val="00FF3FDF"/>
    <w:rsid w:val="01112276"/>
    <w:rsid w:val="01752A7C"/>
    <w:rsid w:val="02E516B5"/>
    <w:rsid w:val="045A1FB4"/>
    <w:rsid w:val="0505CD0D"/>
    <w:rsid w:val="0567E483"/>
    <w:rsid w:val="086221CD"/>
    <w:rsid w:val="09D18C24"/>
    <w:rsid w:val="09F4A4E1"/>
    <w:rsid w:val="09FDF22E"/>
    <w:rsid w:val="0A1741C9"/>
    <w:rsid w:val="0B588A46"/>
    <w:rsid w:val="0C9D4A07"/>
    <w:rsid w:val="0EEAB2EC"/>
    <w:rsid w:val="113C42A7"/>
    <w:rsid w:val="11DC1628"/>
    <w:rsid w:val="13C8B189"/>
    <w:rsid w:val="14E5436E"/>
    <w:rsid w:val="15422DD4"/>
    <w:rsid w:val="166E1AAD"/>
    <w:rsid w:val="19739570"/>
    <w:rsid w:val="1AC6A0A2"/>
    <w:rsid w:val="1AFF782D"/>
    <w:rsid w:val="1BA32F0D"/>
    <w:rsid w:val="1BA8C31C"/>
    <w:rsid w:val="1C578F20"/>
    <w:rsid w:val="1DA17BFC"/>
    <w:rsid w:val="1DB2ADF8"/>
    <w:rsid w:val="1F8833E3"/>
    <w:rsid w:val="244A75C2"/>
    <w:rsid w:val="25458DC8"/>
    <w:rsid w:val="256AC5FD"/>
    <w:rsid w:val="262B6540"/>
    <w:rsid w:val="26DA0B29"/>
    <w:rsid w:val="2733095B"/>
    <w:rsid w:val="28640DBA"/>
    <w:rsid w:val="294E9A46"/>
    <w:rsid w:val="2C47D7D1"/>
    <w:rsid w:val="2C686D42"/>
    <w:rsid w:val="2CF30698"/>
    <w:rsid w:val="31421594"/>
    <w:rsid w:val="317A6438"/>
    <w:rsid w:val="32598AA7"/>
    <w:rsid w:val="32874F88"/>
    <w:rsid w:val="351536A3"/>
    <w:rsid w:val="36A6CD22"/>
    <w:rsid w:val="378F9E91"/>
    <w:rsid w:val="380DAFFC"/>
    <w:rsid w:val="3859C394"/>
    <w:rsid w:val="38B7CF1C"/>
    <w:rsid w:val="38EDF467"/>
    <w:rsid w:val="399C71D6"/>
    <w:rsid w:val="3B3B3D18"/>
    <w:rsid w:val="3C1A5BAE"/>
    <w:rsid w:val="3E59E649"/>
    <w:rsid w:val="3FBB5285"/>
    <w:rsid w:val="3FEE049E"/>
    <w:rsid w:val="4003083A"/>
    <w:rsid w:val="42DFA9A9"/>
    <w:rsid w:val="43F4C866"/>
    <w:rsid w:val="43F845C6"/>
    <w:rsid w:val="447FB368"/>
    <w:rsid w:val="461F8207"/>
    <w:rsid w:val="471B7EE7"/>
    <w:rsid w:val="4789E499"/>
    <w:rsid w:val="48D59EBF"/>
    <w:rsid w:val="4C2F5C1B"/>
    <w:rsid w:val="4C32CD00"/>
    <w:rsid w:val="4CB4F3A0"/>
    <w:rsid w:val="4D117E95"/>
    <w:rsid w:val="4EE577C6"/>
    <w:rsid w:val="52BFEEF5"/>
    <w:rsid w:val="541FBD28"/>
    <w:rsid w:val="55A15DF1"/>
    <w:rsid w:val="562904FC"/>
    <w:rsid w:val="5793C9A0"/>
    <w:rsid w:val="58188721"/>
    <w:rsid w:val="5A507DCE"/>
    <w:rsid w:val="5A85A544"/>
    <w:rsid w:val="5CACD4DB"/>
    <w:rsid w:val="5DBDDA2E"/>
    <w:rsid w:val="5DC5BF71"/>
    <w:rsid w:val="5F64B4B6"/>
    <w:rsid w:val="5FDEBB4E"/>
    <w:rsid w:val="603240E3"/>
    <w:rsid w:val="60347B46"/>
    <w:rsid w:val="619A70A5"/>
    <w:rsid w:val="61B31F8D"/>
    <w:rsid w:val="6252F30E"/>
    <w:rsid w:val="626A2B6A"/>
    <w:rsid w:val="6493F427"/>
    <w:rsid w:val="65D08FB9"/>
    <w:rsid w:val="69686453"/>
    <w:rsid w:val="6AA4F0FD"/>
    <w:rsid w:val="6B70FC37"/>
    <w:rsid w:val="6D33D5CD"/>
    <w:rsid w:val="6D8904E0"/>
    <w:rsid w:val="6DCA8126"/>
    <w:rsid w:val="6FD4C7A5"/>
    <w:rsid w:val="706B768F"/>
    <w:rsid w:val="719300B7"/>
    <w:rsid w:val="72BD554E"/>
    <w:rsid w:val="7308551D"/>
    <w:rsid w:val="731DB3E1"/>
    <w:rsid w:val="737DF80E"/>
    <w:rsid w:val="7546FDB9"/>
    <w:rsid w:val="79BF7A7A"/>
    <w:rsid w:val="7D92570C"/>
    <w:rsid w:val="7E3D89B9"/>
    <w:rsid w:val="7EA814DB"/>
    <w:rsid w:val="7F11714C"/>
    <w:rsid w:val="7FC1C6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DEDA3"/>
  <w15:docId w15:val="{F6543CCC-3F5C-41B7-8A40-96DE7F0F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rsid w:val="000F76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E83B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unhideWhenUsed/>
    <w:qFormat/>
    <w:rsid w:val="000B7607"/>
    <w:pPr>
      <w:keepNext/>
      <w:keepLines/>
      <w:spacing w:before="200" w:after="0"/>
      <w:outlineLvl w:val="2"/>
    </w:pPr>
    <w:rPr>
      <w:rFonts w:asciiTheme="majorHAnsi" w:eastAsiaTheme="majorEastAsia" w:hAnsiTheme="majorHAnsi" w:cstheme="majorBidi"/>
      <w:b/>
      <w:bCs/>
      <w:color w:val="4F81BD" w:themeColor="accent1"/>
    </w:rPr>
  </w:style>
  <w:style w:type="paragraph" w:styleId="4izenburua">
    <w:name w:val="heading 4"/>
    <w:basedOn w:val="Normala"/>
    <w:next w:val="Normala"/>
    <w:link w:val="4izenburuaKar"/>
    <w:uiPriority w:val="9"/>
    <w:unhideWhenUsed/>
    <w:qFormat/>
    <w:rsid w:val="00F42B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2izenburuaKar">
    <w:name w:val="2. izenburua Kar"/>
    <w:basedOn w:val="Paragrafoarenletra-tipolehenetsia"/>
    <w:link w:val="2izenburua"/>
    <w:uiPriority w:val="9"/>
    <w:rsid w:val="00E83B4C"/>
    <w:rPr>
      <w:rFonts w:asciiTheme="majorHAnsi" w:eastAsiaTheme="majorEastAsia" w:hAnsiTheme="majorHAnsi" w:cstheme="majorBidi"/>
      <w:b/>
      <w:bCs/>
      <w:color w:val="4F81BD" w:themeColor="accent1"/>
      <w:sz w:val="26"/>
      <w:szCs w:val="26"/>
    </w:rPr>
  </w:style>
  <w:style w:type="paragraph" w:styleId="Zerrenda-paragrafoa">
    <w:name w:val="List Paragraph"/>
    <w:basedOn w:val="Normala"/>
    <w:uiPriority w:val="34"/>
    <w:qFormat/>
    <w:rsid w:val="00420593"/>
    <w:pPr>
      <w:ind w:left="720"/>
      <w:contextualSpacing/>
    </w:pPr>
  </w:style>
  <w:style w:type="character" w:customStyle="1" w:styleId="3izenburuaKar">
    <w:name w:val="3. izenburua Kar"/>
    <w:basedOn w:val="Paragrafoarenletra-tipolehenetsia"/>
    <w:link w:val="3izenburua"/>
    <w:uiPriority w:val="9"/>
    <w:rsid w:val="000B7607"/>
    <w:rPr>
      <w:rFonts w:asciiTheme="majorHAnsi" w:eastAsiaTheme="majorEastAsia" w:hAnsiTheme="majorHAnsi" w:cstheme="majorBidi"/>
      <w:b/>
      <w:bCs/>
      <w:color w:val="4F81BD" w:themeColor="accent1"/>
    </w:rPr>
  </w:style>
  <w:style w:type="paragraph" w:styleId="Oin-oharrarentestua">
    <w:name w:val="footnote text"/>
    <w:basedOn w:val="Normala"/>
    <w:link w:val="Oin-oharrarentestuaKar"/>
    <w:unhideWhenUsed/>
    <w:rsid w:val="00A458B1"/>
    <w:pPr>
      <w:spacing w:before="120" w:after="0" w:line="240" w:lineRule="auto"/>
      <w:jc w:val="both"/>
    </w:pPr>
    <w:rPr>
      <w:rFonts w:ascii="Calibri Light" w:hAnsi="Calibri Light"/>
      <w:sz w:val="20"/>
      <w:szCs w:val="20"/>
    </w:rPr>
  </w:style>
  <w:style w:type="character" w:customStyle="1" w:styleId="Oin-oharrarentestuaKar">
    <w:name w:val="Oin-oharraren testua Kar"/>
    <w:basedOn w:val="Paragrafoarenletra-tipolehenetsia"/>
    <w:link w:val="Oin-oharrarentestua"/>
    <w:rsid w:val="00A458B1"/>
    <w:rPr>
      <w:rFonts w:ascii="Calibri Light" w:hAnsi="Calibri Light"/>
      <w:sz w:val="20"/>
      <w:szCs w:val="20"/>
    </w:rPr>
  </w:style>
  <w:style w:type="character" w:styleId="Oin-oharrarenerreferentzia">
    <w:name w:val="footnote reference"/>
    <w:aliases w:val="Footnote number,-E Fußnotenzeichen"/>
    <w:basedOn w:val="Paragrafoarenletra-tipolehenetsia"/>
    <w:uiPriority w:val="99"/>
    <w:unhideWhenUsed/>
    <w:rsid w:val="00A458B1"/>
    <w:rPr>
      <w:vertAlign w:val="superscript"/>
    </w:rPr>
  </w:style>
  <w:style w:type="paragraph" w:styleId="Epigrafea">
    <w:name w:val="caption"/>
    <w:aliases w:val="Figuras"/>
    <w:basedOn w:val="Normala"/>
    <w:next w:val="Normala"/>
    <w:uiPriority w:val="35"/>
    <w:unhideWhenUsed/>
    <w:qFormat/>
    <w:rsid w:val="00A458B1"/>
    <w:pPr>
      <w:spacing w:before="120" w:after="0" w:line="240" w:lineRule="auto"/>
      <w:jc w:val="both"/>
    </w:pPr>
    <w:rPr>
      <w:rFonts w:ascii="Calibri Light" w:hAnsi="Calibri Light"/>
      <w:b/>
      <w:bCs/>
      <w:color w:val="4F81BD" w:themeColor="accent1"/>
      <w:sz w:val="18"/>
      <w:szCs w:val="18"/>
    </w:rPr>
  </w:style>
  <w:style w:type="paragraph" w:styleId="Titulua">
    <w:name w:val="Title"/>
    <w:basedOn w:val="Zerrenda-paragrafoa"/>
    <w:next w:val="Normala"/>
    <w:link w:val="TituluaKar"/>
    <w:uiPriority w:val="10"/>
    <w:qFormat/>
    <w:rsid w:val="00A458B1"/>
    <w:pPr>
      <w:numPr>
        <w:numId w:val="4"/>
      </w:numPr>
      <w:spacing w:after="120"/>
      <w:jc w:val="both"/>
    </w:pPr>
    <w:rPr>
      <w:rFonts w:ascii="Calibri Light" w:hAnsi="Calibri Light" w:cstheme="minorHAnsi"/>
    </w:rPr>
  </w:style>
  <w:style w:type="character" w:customStyle="1" w:styleId="TituluaKar">
    <w:name w:val="Titulua Kar"/>
    <w:basedOn w:val="Paragrafoarenletra-tipolehenetsia"/>
    <w:link w:val="Titulua"/>
    <w:uiPriority w:val="10"/>
    <w:rsid w:val="00A458B1"/>
    <w:rPr>
      <w:rFonts w:ascii="Calibri Light" w:hAnsi="Calibri Light" w:cstheme="minorHAnsi"/>
    </w:rPr>
  </w:style>
  <w:style w:type="paragraph" w:styleId="Bunbuiloarentestua">
    <w:name w:val="Balloon Text"/>
    <w:basedOn w:val="Normala"/>
    <w:link w:val="BunbuiloarentestuaKar"/>
    <w:uiPriority w:val="99"/>
    <w:semiHidden/>
    <w:unhideWhenUsed/>
    <w:rsid w:val="00A458B1"/>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A458B1"/>
    <w:rPr>
      <w:rFonts w:ascii="Tahoma" w:hAnsi="Tahoma" w:cs="Tahoma"/>
      <w:sz w:val="16"/>
      <w:szCs w:val="16"/>
    </w:rPr>
  </w:style>
  <w:style w:type="character" w:customStyle="1" w:styleId="4izenburuaKar">
    <w:name w:val="4. izenburua Kar"/>
    <w:basedOn w:val="Paragrafoarenletra-tipolehenetsia"/>
    <w:link w:val="4izenburua"/>
    <w:uiPriority w:val="9"/>
    <w:rsid w:val="00F42BD1"/>
    <w:rPr>
      <w:rFonts w:asciiTheme="majorHAnsi" w:eastAsiaTheme="majorEastAsia" w:hAnsiTheme="majorHAnsi" w:cstheme="majorBidi"/>
      <w:b/>
      <w:bCs/>
      <w:i/>
      <w:iCs/>
      <w:color w:val="4F81BD" w:themeColor="accent1"/>
    </w:rPr>
  </w:style>
  <w:style w:type="character" w:styleId="Iruzkinarenerreferentzia">
    <w:name w:val="annotation reference"/>
    <w:basedOn w:val="Paragrafoarenletra-tipolehenetsia"/>
    <w:uiPriority w:val="99"/>
    <w:semiHidden/>
    <w:unhideWhenUsed/>
    <w:rsid w:val="0010749F"/>
    <w:rPr>
      <w:sz w:val="16"/>
      <w:szCs w:val="16"/>
    </w:rPr>
  </w:style>
  <w:style w:type="paragraph" w:styleId="Iruzkinarentestua">
    <w:name w:val="annotation text"/>
    <w:basedOn w:val="Normala"/>
    <w:link w:val="IruzkinarentestuaKar"/>
    <w:uiPriority w:val="99"/>
    <w:semiHidden/>
    <w:unhideWhenUsed/>
    <w:rsid w:val="0010749F"/>
    <w:pPr>
      <w:spacing w:line="240" w:lineRule="auto"/>
    </w:pPr>
    <w:rPr>
      <w:sz w:val="20"/>
      <w:szCs w:val="20"/>
    </w:rPr>
  </w:style>
  <w:style w:type="character" w:customStyle="1" w:styleId="IruzkinarentestuaKar">
    <w:name w:val="Iruzkinaren testua Kar"/>
    <w:basedOn w:val="Paragrafoarenletra-tipolehenetsia"/>
    <w:link w:val="Iruzkinarentestua"/>
    <w:uiPriority w:val="99"/>
    <w:semiHidden/>
    <w:rsid w:val="0010749F"/>
    <w:rPr>
      <w:sz w:val="20"/>
      <w:szCs w:val="20"/>
    </w:rPr>
  </w:style>
  <w:style w:type="paragraph" w:styleId="Iruzkinarengaia">
    <w:name w:val="annotation subject"/>
    <w:basedOn w:val="Iruzkinarentestua"/>
    <w:next w:val="Iruzkinarentestua"/>
    <w:link w:val="IruzkinarengaiaKar"/>
    <w:uiPriority w:val="99"/>
    <w:semiHidden/>
    <w:unhideWhenUsed/>
    <w:rsid w:val="0010749F"/>
    <w:rPr>
      <w:b/>
      <w:bCs/>
    </w:rPr>
  </w:style>
  <w:style w:type="character" w:customStyle="1" w:styleId="IruzkinarengaiaKar">
    <w:name w:val="Iruzkinaren gaia Kar"/>
    <w:basedOn w:val="IruzkinarentestuaKar"/>
    <w:link w:val="Iruzkinarengaia"/>
    <w:uiPriority w:val="99"/>
    <w:semiHidden/>
    <w:rsid w:val="0010749F"/>
    <w:rPr>
      <w:b/>
      <w:bCs/>
      <w:sz w:val="20"/>
      <w:szCs w:val="20"/>
    </w:rPr>
  </w:style>
  <w:style w:type="table" w:styleId="Saretaduntaula">
    <w:name w:val="Table Grid"/>
    <w:basedOn w:val="Taulanormala"/>
    <w:uiPriority w:val="59"/>
    <w:rsid w:val="00F84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esteka">
    <w:name w:val="Hyperlink"/>
    <w:basedOn w:val="Paragrafoarenletra-tipolehenetsia"/>
    <w:uiPriority w:val="99"/>
    <w:unhideWhenUsed/>
    <w:rsid w:val="00943355"/>
    <w:rPr>
      <w:color w:val="0000FF" w:themeColor="hyperlink"/>
      <w:u w:val="single"/>
    </w:rPr>
  </w:style>
  <w:style w:type="paragraph" w:styleId="Gorputz-testua">
    <w:name w:val="Body Text"/>
    <w:basedOn w:val="Normala"/>
    <w:link w:val="Gorputz-testuaKar"/>
    <w:uiPriority w:val="1"/>
    <w:qFormat/>
    <w:rsid w:val="00B62102"/>
    <w:pPr>
      <w:widowControl w:val="0"/>
      <w:autoSpaceDE w:val="0"/>
      <w:autoSpaceDN w:val="0"/>
      <w:spacing w:after="0" w:line="240" w:lineRule="auto"/>
    </w:pPr>
    <w:rPr>
      <w:rFonts w:ascii="Tahoma" w:eastAsia="Tahoma" w:hAnsi="Tahoma" w:cs="Tahoma"/>
      <w:sz w:val="19"/>
      <w:szCs w:val="19"/>
    </w:rPr>
  </w:style>
  <w:style w:type="character" w:customStyle="1" w:styleId="Gorputz-testuaKar">
    <w:name w:val="Gorputz-testua Kar"/>
    <w:basedOn w:val="Paragrafoarenletra-tipolehenetsia"/>
    <w:link w:val="Gorputz-testua"/>
    <w:uiPriority w:val="1"/>
    <w:rsid w:val="00B62102"/>
    <w:rPr>
      <w:rFonts w:ascii="Tahoma" w:eastAsia="Tahoma" w:hAnsi="Tahoma" w:cs="Tahoma"/>
      <w:sz w:val="19"/>
      <w:szCs w:val="19"/>
    </w:rPr>
  </w:style>
  <w:style w:type="character" w:customStyle="1" w:styleId="1izenburuaKar">
    <w:name w:val="1. izenburua Kar"/>
    <w:basedOn w:val="Paragrafoarenletra-tipolehenetsia"/>
    <w:link w:val="1izenburua"/>
    <w:uiPriority w:val="9"/>
    <w:rsid w:val="000F76CE"/>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DF696F"/>
    <w:pPr>
      <w:autoSpaceDE w:val="0"/>
      <w:autoSpaceDN w:val="0"/>
      <w:adjustRightInd w:val="0"/>
      <w:spacing w:after="0" w:line="240" w:lineRule="auto"/>
    </w:pPr>
    <w:rPr>
      <w:rFonts w:ascii="Calibri" w:hAnsi="Calibri" w:cs="Calibri"/>
      <w:color w:val="000000"/>
      <w:sz w:val="24"/>
      <w:szCs w:val="24"/>
    </w:rPr>
  </w:style>
  <w:style w:type="table" w:customStyle="1" w:styleId="NormalTable0">
    <w:name w:val="Normal Table0"/>
    <w:uiPriority w:val="2"/>
    <w:semiHidden/>
    <w:unhideWhenUsed/>
    <w:qFormat/>
    <w:rsid w:val="004912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a"/>
    <w:uiPriority w:val="1"/>
    <w:qFormat/>
    <w:rsid w:val="004912EE"/>
    <w:pPr>
      <w:widowControl w:val="0"/>
      <w:autoSpaceDE w:val="0"/>
      <w:autoSpaceDN w:val="0"/>
      <w:spacing w:before="23" w:after="0" w:line="240" w:lineRule="auto"/>
    </w:pPr>
    <w:rPr>
      <w:rFonts w:ascii="Arial" w:eastAsia="Arial" w:hAnsi="Arial" w:cs="Arial"/>
      <w:lang w:val="en-US"/>
    </w:rPr>
  </w:style>
  <w:style w:type="paragraph" w:styleId="Normalaweb">
    <w:name w:val="Normal (Web)"/>
    <w:basedOn w:val="Normala"/>
    <w:uiPriority w:val="99"/>
    <w:unhideWhenUsed/>
    <w:rsid w:val="00B1164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Lodia">
    <w:name w:val="Strong"/>
    <w:basedOn w:val="Paragrafoarenletra-tipolehenetsia"/>
    <w:uiPriority w:val="22"/>
    <w:qFormat/>
    <w:rsid w:val="00F9219F"/>
    <w:rPr>
      <w:b/>
      <w:bCs/>
    </w:rPr>
  </w:style>
  <w:style w:type="paragraph" w:styleId="Indizea1">
    <w:name w:val="index 1"/>
    <w:basedOn w:val="Normala"/>
    <w:next w:val="Normala"/>
    <w:autoRedefine/>
    <w:uiPriority w:val="99"/>
    <w:unhideWhenUsed/>
    <w:rsid w:val="0095247E"/>
    <w:pPr>
      <w:spacing w:after="0"/>
      <w:ind w:left="220" w:hanging="220"/>
    </w:pPr>
    <w:rPr>
      <w:rFonts w:cstheme="minorHAnsi"/>
      <w:sz w:val="18"/>
      <w:szCs w:val="18"/>
    </w:rPr>
  </w:style>
  <w:style w:type="paragraph" w:styleId="Indizea2">
    <w:name w:val="index 2"/>
    <w:basedOn w:val="Normala"/>
    <w:next w:val="Normala"/>
    <w:autoRedefine/>
    <w:uiPriority w:val="99"/>
    <w:unhideWhenUsed/>
    <w:rsid w:val="0095247E"/>
    <w:pPr>
      <w:spacing w:after="0"/>
      <w:ind w:left="440" w:hanging="220"/>
    </w:pPr>
    <w:rPr>
      <w:rFonts w:cstheme="minorHAnsi"/>
      <w:sz w:val="18"/>
      <w:szCs w:val="18"/>
    </w:rPr>
  </w:style>
  <w:style w:type="paragraph" w:styleId="Indizea3">
    <w:name w:val="index 3"/>
    <w:basedOn w:val="Normala"/>
    <w:next w:val="Normala"/>
    <w:autoRedefine/>
    <w:uiPriority w:val="99"/>
    <w:unhideWhenUsed/>
    <w:rsid w:val="0095247E"/>
    <w:pPr>
      <w:spacing w:after="0"/>
      <w:ind w:left="660" w:hanging="220"/>
    </w:pPr>
    <w:rPr>
      <w:rFonts w:cstheme="minorHAnsi"/>
      <w:sz w:val="18"/>
      <w:szCs w:val="18"/>
    </w:rPr>
  </w:style>
  <w:style w:type="paragraph" w:styleId="Indizea4">
    <w:name w:val="index 4"/>
    <w:basedOn w:val="Normala"/>
    <w:next w:val="Normala"/>
    <w:autoRedefine/>
    <w:uiPriority w:val="99"/>
    <w:unhideWhenUsed/>
    <w:rsid w:val="0095247E"/>
    <w:pPr>
      <w:spacing w:after="0"/>
      <w:ind w:left="880" w:hanging="220"/>
    </w:pPr>
    <w:rPr>
      <w:rFonts w:cstheme="minorHAnsi"/>
      <w:sz w:val="18"/>
      <w:szCs w:val="18"/>
    </w:rPr>
  </w:style>
  <w:style w:type="paragraph" w:styleId="Indizea5">
    <w:name w:val="index 5"/>
    <w:basedOn w:val="Normala"/>
    <w:next w:val="Normala"/>
    <w:autoRedefine/>
    <w:uiPriority w:val="99"/>
    <w:unhideWhenUsed/>
    <w:rsid w:val="0095247E"/>
    <w:pPr>
      <w:spacing w:after="0"/>
      <w:ind w:left="1100" w:hanging="220"/>
    </w:pPr>
    <w:rPr>
      <w:rFonts w:cstheme="minorHAnsi"/>
      <w:sz w:val="18"/>
      <w:szCs w:val="18"/>
    </w:rPr>
  </w:style>
  <w:style w:type="paragraph" w:styleId="Indizea6">
    <w:name w:val="index 6"/>
    <w:basedOn w:val="Normala"/>
    <w:next w:val="Normala"/>
    <w:autoRedefine/>
    <w:uiPriority w:val="99"/>
    <w:unhideWhenUsed/>
    <w:rsid w:val="0095247E"/>
    <w:pPr>
      <w:spacing w:after="0"/>
      <w:ind w:left="1320" w:hanging="220"/>
    </w:pPr>
    <w:rPr>
      <w:rFonts w:cstheme="minorHAnsi"/>
      <w:sz w:val="18"/>
      <w:szCs w:val="18"/>
    </w:rPr>
  </w:style>
  <w:style w:type="paragraph" w:styleId="Indizea7">
    <w:name w:val="index 7"/>
    <w:basedOn w:val="Normala"/>
    <w:next w:val="Normala"/>
    <w:autoRedefine/>
    <w:uiPriority w:val="99"/>
    <w:unhideWhenUsed/>
    <w:rsid w:val="0095247E"/>
    <w:pPr>
      <w:spacing w:after="0"/>
      <w:ind w:left="1540" w:hanging="220"/>
    </w:pPr>
    <w:rPr>
      <w:rFonts w:cstheme="minorHAnsi"/>
      <w:sz w:val="18"/>
      <w:szCs w:val="18"/>
    </w:rPr>
  </w:style>
  <w:style w:type="paragraph" w:styleId="Indizea8">
    <w:name w:val="index 8"/>
    <w:basedOn w:val="Normala"/>
    <w:next w:val="Normala"/>
    <w:autoRedefine/>
    <w:uiPriority w:val="99"/>
    <w:unhideWhenUsed/>
    <w:rsid w:val="0095247E"/>
    <w:pPr>
      <w:spacing w:after="0"/>
      <w:ind w:left="1760" w:hanging="220"/>
    </w:pPr>
    <w:rPr>
      <w:rFonts w:cstheme="minorHAnsi"/>
      <w:sz w:val="18"/>
      <w:szCs w:val="18"/>
    </w:rPr>
  </w:style>
  <w:style w:type="paragraph" w:styleId="Indizea9">
    <w:name w:val="index 9"/>
    <w:basedOn w:val="Normala"/>
    <w:next w:val="Normala"/>
    <w:autoRedefine/>
    <w:uiPriority w:val="99"/>
    <w:unhideWhenUsed/>
    <w:rsid w:val="0095247E"/>
    <w:pPr>
      <w:spacing w:after="0"/>
      <w:ind w:left="1980" w:hanging="220"/>
    </w:pPr>
    <w:rPr>
      <w:rFonts w:cstheme="minorHAnsi"/>
      <w:sz w:val="18"/>
      <w:szCs w:val="18"/>
    </w:rPr>
  </w:style>
  <w:style w:type="paragraph" w:styleId="Indize-izenburua">
    <w:name w:val="index heading"/>
    <w:basedOn w:val="Normala"/>
    <w:next w:val="Indizea1"/>
    <w:uiPriority w:val="99"/>
    <w:unhideWhenUsed/>
    <w:rsid w:val="0095247E"/>
    <w:pPr>
      <w:pBdr>
        <w:top w:val="single" w:sz="12" w:space="0" w:color="auto"/>
      </w:pBdr>
      <w:spacing w:before="360" w:after="240"/>
    </w:pPr>
    <w:rPr>
      <w:rFonts w:cstheme="minorHAnsi"/>
      <w:b/>
      <w:bCs/>
      <w:i/>
      <w:iCs/>
      <w:sz w:val="26"/>
      <w:szCs w:val="26"/>
    </w:rPr>
  </w:style>
  <w:style w:type="paragraph" w:styleId="Tarterikez">
    <w:name w:val="No Spacing"/>
    <w:link w:val="TarterikezKar"/>
    <w:uiPriority w:val="1"/>
    <w:qFormat/>
    <w:rsid w:val="00C81500"/>
    <w:pPr>
      <w:spacing w:after="0" w:line="240" w:lineRule="auto"/>
    </w:pPr>
    <w:rPr>
      <w:rFonts w:eastAsiaTheme="minorEastAsia"/>
      <w:lang w:eastAsia="es-ES"/>
    </w:rPr>
  </w:style>
  <w:style w:type="character" w:customStyle="1" w:styleId="TarterikezKar">
    <w:name w:val="Tarterik ez Kar"/>
    <w:basedOn w:val="Paragrafoarenletra-tipolehenetsia"/>
    <w:link w:val="Tarterikez"/>
    <w:uiPriority w:val="1"/>
    <w:rsid w:val="00C81500"/>
    <w:rPr>
      <w:rFonts w:eastAsiaTheme="minorEastAsia"/>
      <w:lang w:eastAsia="es-ES"/>
    </w:rPr>
  </w:style>
  <w:style w:type="paragraph" w:styleId="TOCizenburua">
    <w:name w:val="TOC Heading"/>
    <w:basedOn w:val="1izenburua"/>
    <w:next w:val="Normala"/>
    <w:uiPriority w:val="39"/>
    <w:unhideWhenUsed/>
    <w:qFormat/>
    <w:rsid w:val="00197BF2"/>
    <w:pPr>
      <w:outlineLvl w:val="9"/>
    </w:pPr>
    <w:rPr>
      <w:lang w:eastAsia="es-ES"/>
    </w:rPr>
  </w:style>
  <w:style w:type="paragraph" w:styleId="EA1">
    <w:name w:val="toc 1"/>
    <w:basedOn w:val="Normala"/>
    <w:next w:val="Normala"/>
    <w:autoRedefine/>
    <w:uiPriority w:val="39"/>
    <w:unhideWhenUsed/>
    <w:rsid w:val="00197BF2"/>
    <w:pPr>
      <w:spacing w:after="100"/>
    </w:pPr>
  </w:style>
  <w:style w:type="paragraph" w:styleId="EA2">
    <w:name w:val="toc 2"/>
    <w:basedOn w:val="Normala"/>
    <w:next w:val="Normala"/>
    <w:autoRedefine/>
    <w:uiPriority w:val="39"/>
    <w:unhideWhenUsed/>
    <w:rsid w:val="00197BF2"/>
    <w:pPr>
      <w:spacing w:after="100"/>
      <w:ind w:left="220"/>
    </w:pPr>
  </w:style>
  <w:style w:type="paragraph" w:styleId="Goiburua">
    <w:name w:val="header"/>
    <w:basedOn w:val="Normala"/>
    <w:link w:val="GoiburuaKar"/>
    <w:uiPriority w:val="99"/>
    <w:unhideWhenUsed/>
    <w:rsid w:val="008103F1"/>
    <w:pPr>
      <w:tabs>
        <w:tab w:val="center" w:pos="4252"/>
        <w:tab w:val="right" w:pos="8504"/>
      </w:tabs>
      <w:spacing w:after="0" w:line="240" w:lineRule="auto"/>
    </w:pPr>
  </w:style>
  <w:style w:type="character" w:customStyle="1" w:styleId="GoiburuaKar">
    <w:name w:val="Goiburua Kar"/>
    <w:basedOn w:val="Paragrafoarenletra-tipolehenetsia"/>
    <w:link w:val="Goiburua"/>
    <w:uiPriority w:val="99"/>
    <w:rsid w:val="008103F1"/>
  </w:style>
  <w:style w:type="paragraph" w:styleId="Orri-oina">
    <w:name w:val="footer"/>
    <w:basedOn w:val="Normala"/>
    <w:link w:val="Orri-oinaKar"/>
    <w:uiPriority w:val="99"/>
    <w:unhideWhenUsed/>
    <w:rsid w:val="008103F1"/>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8103F1"/>
  </w:style>
  <w:style w:type="paragraph" w:styleId="EA3">
    <w:name w:val="toc 3"/>
    <w:basedOn w:val="Normala"/>
    <w:next w:val="Normala"/>
    <w:autoRedefine/>
    <w:uiPriority w:val="39"/>
    <w:unhideWhenUsed/>
    <w:rsid w:val="00874D9D"/>
    <w:pPr>
      <w:spacing w:after="100"/>
      <w:ind w:left="440"/>
    </w:pPr>
  </w:style>
  <w:style w:type="paragraph" w:styleId="Irudienaurkibidea">
    <w:name w:val="table of figures"/>
    <w:basedOn w:val="Normala"/>
    <w:next w:val="Normala"/>
    <w:uiPriority w:val="99"/>
    <w:unhideWhenUsed/>
    <w:rsid w:val="00E01366"/>
    <w:pPr>
      <w:spacing w:after="0"/>
    </w:pPr>
  </w:style>
  <w:style w:type="paragraph" w:customStyle="1" w:styleId="Pa0">
    <w:name w:val="Pa0"/>
    <w:basedOn w:val="Default"/>
    <w:next w:val="Default"/>
    <w:uiPriority w:val="99"/>
    <w:rsid w:val="00AE18E4"/>
    <w:pPr>
      <w:spacing w:line="181" w:lineRule="atLeast"/>
    </w:pPr>
    <w:rPr>
      <w:rFonts w:ascii="Helvetica Neue" w:hAnsi="Helvetica Neue" w:cstheme="minorBidi"/>
      <w:color w:val="auto"/>
    </w:rPr>
  </w:style>
  <w:style w:type="character" w:customStyle="1" w:styleId="A0">
    <w:name w:val="A0"/>
    <w:uiPriority w:val="99"/>
    <w:rsid w:val="00AE18E4"/>
    <w:rPr>
      <w:rFonts w:cs="Helvetica Neue"/>
      <w:b/>
      <w:bCs/>
      <w:color w:val="000000"/>
      <w:sz w:val="60"/>
      <w:szCs w:val="60"/>
    </w:rPr>
  </w:style>
  <w:style w:type="table" w:styleId="4sareta-taula-1enfasia">
    <w:name w:val="Grid Table 4 Accent 1"/>
    <w:basedOn w:val="Taulanormala"/>
    <w:uiPriority w:val="49"/>
    <w:rsid w:val="00E67DA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
    <w:name w:val="Tabla con cuadrícula1"/>
    <w:basedOn w:val="Taulanormala"/>
    <w:next w:val="Saretaduntaula"/>
    <w:uiPriority w:val="59"/>
    <w:rsid w:val="00E251F3"/>
    <w:pPr>
      <w:spacing w:after="0" w:line="240" w:lineRule="auto"/>
      <w:ind w:left="363"/>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24859">
      <w:bodyDiv w:val="1"/>
      <w:marLeft w:val="0"/>
      <w:marRight w:val="0"/>
      <w:marTop w:val="0"/>
      <w:marBottom w:val="0"/>
      <w:divBdr>
        <w:top w:val="none" w:sz="0" w:space="0" w:color="auto"/>
        <w:left w:val="none" w:sz="0" w:space="0" w:color="auto"/>
        <w:bottom w:val="none" w:sz="0" w:space="0" w:color="auto"/>
        <w:right w:val="none" w:sz="0" w:space="0" w:color="auto"/>
      </w:divBdr>
    </w:div>
    <w:div w:id="98643673">
      <w:bodyDiv w:val="1"/>
      <w:marLeft w:val="0"/>
      <w:marRight w:val="0"/>
      <w:marTop w:val="0"/>
      <w:marBottom w:val="0"/>
      <w:divBdr>
        <w:top w:val="none" w:sz="0" w:space="0" w:color="auto"/>
        <w:left w:val="none" w:sz="0" w:space="0" w:color="auto"/>
        <w:bottom w:val="none" w:sz="0" w:space="0" w:color="auto"/>
        <w:right w:val="none" w:sz="0" w:space="0" w:color="auto"/>
      </w:divBdr>
    </w:div>
    <w:div w:id="168452197">
      <w:bodyDiv w:val="1"/>
      <w:marLeft w:val="0"/>
      <w:marRight w:val="0"/>
      <w:marTop w:val="0"/>
      <w:marBottom w:val="0"/>
      <w:divBdr>
        <w:top w:val="none" w:sz="0" w:space="0" w:color="auto"/>
        <w:left w:val="none" w:sz="0" w:space="0" w:color="auto"/>
        <w:bottom w:val="none" w:sz="0" w:space="0" w:color="auto"/>
        <w:right w:val="none" w:sz="0" w:space="0" w:color="auto"/>
      </w:divBdr>
    </w:div>
    <w:div w:id="255749601">
      <w:bodyDiv w:val="1"/>
      <w:marLeft w:val="0"/>
      <w:marRight w:val="0"/>
      <w:marTop w:val="0"/>
      <w:marBottom w:val="0"/>
      <w:divBdr>
        <w:top w:val="none" w:sz="0" w:space="0" w:color="auto"/>
        <w:left w:val="none" w:sz="0" w:space="0" w:color="auto"/>
        <w:bottom w:val="none" w:sz="0" w:space="0" w:color="auto"/>
        <w:right w:val="none" w:sz="0" w:space="0" w:color="auto"/>
      </w:divBdr>
    </w:div>
    <w:div w:id="278533825">
      <w:bodyDiv w:val="1"/>
      <w:marLeft w:val="0"/>
      <w:marRight w:val="0"/>
      <w:marTop w:val="0"/>
      <w:marBottom w:val="0"/>
      <w:divBdr>
        <w:top w:val="none" w:sz="0" w:space="0" w:color="auto"/>
        <w:left w:val="none" w:sz="0" w:space="0" w:color="auto"/>
        <w:bottom w:val="none" w:sz="0" w:space="0" w:color="auto"/>
        <w:right w:val="none" w:sz="0" w:space="0" w:color="auto"/>
      </w:divBdr>
    </w:div>
    <w:div w:id="291716866">
      <w:bodyDiv w:val="1"/>
      <w:marLeft w:val="0"/>
      <w:marRight w:val="0"/>
      <w:marTop w:val="0"/>
      <w:marBottom w:val="0"/>
      <w:divBdr>
        <w:top w:val="none" w:sz="0" w:space="0" w:color="auto"/>
        <w:left w:val="none" w:sz="0" w:space="0" w:color="auto"/>
        <w:bottom w:val="none" w:sz="0" w:space="0" w:color="auto"/>
        <w:right w:val="none" w:sz="0" w:space="0" w:color="auto"/>
      </w:divBdr>
    </w:div>
    <w:div w:id="347566476">
      <w:bodyDiv w:val="1"/>
      <w:marLeft w:val="0"/>
      <w:marRight w:val="0"/>
      <w:marTop w:val="0"/>
      <w:marBottom w:val="0"/>
      <w:divBdr>
        <w:top w:val="none" w:sz="0" w:space="0" w:color="auto"/>
        <w:left w:val="none" w:sz="0" w:space="0" w:color="auto"/>
        <w:bottom w:val="none" w:sz="0" w:space="0" w:color="auto"/>
        <w:right w:val="none" w:sz="0" w:space="0" w:color="auto"/>
      </w:divBdr>
    </w:div>
    <w:div w:id="385639628">
      <w:bodyDiv w:val="1"/>
      <w:marLeft w:val="0"/>
      <w:marRight w:val="0"/>
      <w:marTop w:val="0"/>
      <w:marBottom w:val="0"/>
      <w:divBdr>
        <w:top w:val="none" w:sz="0" w:space="0" w:color="auto"/>
        <w:left w:val="none" w:sz="0" w:space="0" w:color="auto"/>
        <w:bottom w:val="none" w:sz="0" w:space="0" w:color="auto"/>
        <w:right w:val="none" w:sz="0" w:space="0" w:color="auto"/>
      </w:divBdr>
    </w:div>
    <w:div w:id="451629176">
      <w:bodyDiv w:val="1"/>
      <w:marLeft w:val="0"/>
      <w:marRight w:val="0"/>
      <w:marTop w:val="0"/>
      <w:marBottom w:val="0"/>
      <w:divBdr>
        <w:top w:val="none" w:sz="0" w:space="0" w:color="auto"/>
        <w:left w:val="none" w:sz="0" w:space="0" w:color="auto"/>
        <w:bottom w:val="none" w:sz="0" w:space="0" w:color="auto"/>
        <w:right w:val="none" w:sz="0" w:space="0" w:color="auto"/>
      </w:divBdr>
      <w:divsChild>
        <w:div w:id="807086741">
          <w:marLeft w:val="763"/>
          <w:marRight w:val="259"/>
          <w:marTop w:val="19"/>
          <w:marBottom w:val="0"/>
          <w:divBdr>
            <w:top w:val="none" w:sz="0" w:space="0" w:color="auto"/>
            <w:left w:val="none" w:sz="0" w:space="0" w:color="auto"/>
            <w:bottom w:val="none" w:sz="0" w:space="0" w:color="auto"/>
            <w:right w:val="none" w:sz="0" w:space="0" w:color="auto"/>
          </w:divBdr>
        </w:div>
      </w:divsChild>
    </w:div>
    <w:div w:id="473959469">
      <w:bodyDiv w:val="1"/>
      <w:marLeft w:val="0"/>
      <w:marRight w:val="0"/>
      <w:marTop w:val="0"/>
      <w:marBottom w:val="0"/>
      <w:divBdr>
        <w:top w:val="none" w:sz="0" w:space="0" w:color="auto"/>
        <w:left w:val="none" w:sz="0" w:space="0" w:color="auto"/>
        <w:bottom w:val="none" w:sz="0" w:space="0" w:color="auto"/>
        <w:right w:val="none" w:sz="0" w:space="0" w:color="auto"/>
      </w:divBdr>
      <w:divsChild>
        <w:div w:id="2089496994">
          <w:marLeft w:val="763"/>
          <w:marRight w:val="360"/>
          <w:marTop w:val="19"/>
          <w:marBottom w:val="0"/>
          <w:divBdr>
            <w:top w:val="none" w:sz="0" w:space="0" w:color="auto"/>
            <w:left w:val="none" w:sz="0" w:space="0" w:color="auto"/>
            <w:bottom w:val="none" w:sz="0" w:space="0" w:color="auto"/>
            <w:right w:val="none" w:sz="0" w:space="0" w:color="auto"/>
          </w:divBdr>
        </w:div>
      </w:divsChild>
    </w:div>
    <w:div w:id="669527870">
      <w:bodyDiv w:val="1"/>
      <w:marLeft w:val="0"/>
      <w:marRight w:val="0"/>
      <w:marTop w:val="0"/>
      <w:marBottom w:val="0"/>
      <w:divBdr>
        <w:top w:val="none" w:sz="0" w:space="0" w:color="auto"/>
        <w:left w:val="none" w:sz="0" w:space="0" w:color="auto"/>
        <w:bottom w:val="none" w:sz="0" w:space="0" w:color="auto"/>
        <w:right w:val="none" w:sz="0" w:space="0" w:color="auto"/>
      </w:divBdr>
    </w:div>
    <w:div w:id="690761518">
      <w:bodyDiv w:val="1"/>
      <w:marLeft w:val="0"/>
      <w:marRight w:val="0"/>
      <w:marTop w:val="0"/>
      <w:marBottom w:val="0"/>
      <w:divBdr>
        <w:top w:val="none" w:sz="0" w:space="0" w:color="auto"/>
        <w:left w:val="none" w:sz="0" w:space="0" w:color="auto"/>
        <w:bottom w:val="none" w:sz="0" w:space="0" w:color="auto"/>
        <w:right w:val="none" w:sz="0" w:space="0" w:color="auto"/>
      </w:divBdr>
      <w:divsChild>
        <w:div w:id="281768752">
          <w:marLeft w:val="446"/>
          <w:marRight w:val="0"/>
          <w:marTop w:val="0"/>
          <w:marBottom w:val="0"/>
          <w:divBdr>
            <w:top w:val="none" w:sz="0" w:space="0" w:color="auto"/>
            <w:left w:val="none" w:sz="0" w:space="0" w:color="auto"/>
            <w:bottom w:val="none" w:sz="0" w:space="0" w:color="auto"/>
            <w:right w:val="none" w:sz="0" w:space="0" w:color="auto"/>
          </w:divBdr>
        </w:div>
      </w:divsChild>
    </w:div>
    <w:div w:id="781730980">
      <w:bodyDiv w:val="1"/>
      <w:marLeft w:val="0"/>
      <w:marRight w:val="0"/>
      <w:marTop w:val="0"/>
      <w:marBottom w:val="0"/>
      <w:divBdr>
        <w:top w:val="none" w:sz="0" w:space="0" w:color="auto"/>
        <w:left w:val="none" w:sz="0" w:space="0" w:color="auto"/>
        <w:bottom w:val="none" w:sz="0" w:space="0" w:color="auto"/>
        <w:right w:val="none" w:sz="0" w:space="0" w:color="auto"/>
      </w:divBdr>
    </w:div>
    <w:div w:id="806240795">
      <w:bodyDiv w:val="1"/>
      <w:marLeft w:val="0"/>
      <w:marRight w:val="0"/>
      <w:marTop w:val="0"/>
      <w:marBottom w:val="0"/>
      <w:divBdr>
        <w:top w:val="none" w:sz="0" w:space="0" w:color="auto"/>
        <w:left w:val="none" w:sz="0" w:space="0" w:color="auto"/>
        <w:bottom w:val="none" w:sz="0" w:space="0" w:color="auto"/>
        <w:right w:val="none" w:sz="0" w:space="0" w:color="auto"/>
      </w:divBdr>
    </w:div>
    <w:div w:id="811673180">
      <w:bodyDiv w:val="1"/>
      <w:marLeft w:val="0"/>
      <w:marRight w:val="0"/>
      <w:marTop w:val="0"/>
      <w:marBottom w:val="0"/>
      <w:divBdr>
        <w:top w:val="none" w:sz="0" w:space="0" w:color="auto"/>
        <w:left w:val="none" w:sz="0" w:space="0" w:color="auto"/>
        <w:bottom w:val="none" w:sz="0" w:space="0" w:color="auto"/>
        <w:right w:val="none" w:sz="0" w:space="0" w:color="auto"/>
      </w:divBdr>
      <w:divsChild>
        <w:div w:id="232354085">
          <w:marLeft w:val="1944"/>
          <w:marRight w:val="2419"/>
          <w:marTop w:val="26"/>
          <w:marBottom w:val="0"/>
          <w:divBdr>
            <w:top w:val="none" w:sz="0" w:space="0" w:color="auto"/>
            <w:left w:val="none" w:sz="0" w:space="0" w:color="auto"/>
            <w:bottom w:val="none" w:sz="0" w:space="0" w:color="auto"/>
            <w:right w:val="none" w:sz="0" w:space="0" w:color="auto"/>
          </w:divBdr>
        </w:div>
        <w:div w:id="293759121">
          <w:marLeft w:val="1944"/>
          <w:marRight w:val="245"/>
          <w:marTop w:val="0"/>
          <w:marBottom w:val="0"/>
          <w:divBdr>
            <w:top w:val="none" w:sz="0" w:space="0" w:color="auto"/>
            <w:left w:val="none" w:sz="0" w:space="0" w:color="auto"/>
            <w:bottom w:val="none" w:sz="0" w:space="0" w:color="auto"/>
            <w:right w:val="none" w:sz="0" w:space="0" w:color="auto"/>
          </w:divBdr>
        </w:div>
        <w:div w:id="855266163">
          <w:marLeft w:val="763"/>
          <w:marRight w:val="0"/>
          <w:marTop w:val="0"/>
          <w:marBottom w:val="0"/>
          <w:divBdr>
            <w:top w:val="none" w:sz="0" w:space="0" w:color="auto"/>
            <w:left w:val="none" w:sz="0" w:space="0" w:color="auto"/>
            <w:bottom w:val="none" w:sz="0" w:space="0" w:color="auto"/>
            <w:right w:val="none" w:sz="0" w:space="0" w:color="auto"/>
          </w:divBdr>
        </w:div>
        <w:div w:id="1603604984">
          <w:marLeft w:val="763"/>
          <w:marRight w:val="14"/>
          <w:marTop w:val="19"/>
          <w:marBottom w:val="0"/>
          <w:divBdr>
            <w:top w:val="none" w:sz="0" w:space="0" w:color="auto"/>
            <w:left w:val="none" w:sz="0" w:space="0" w:color="auto"/>
            <w:bottom w:val="none" w:sz="0" w:space="0" w:color="auto"/>
            <w:right w:val="none" w:sz="0" w:space="0" w:color="auto"/>
          </w:divBdr>
        </w:div>
      </w:divsChild>
    </w:div>
    <w:div w:id="868567192">
      <w:bodyDiv w:val="1"/>
      <w:marLeft w:val="0"/>
      <w:marRight w:val="0"/>
      <w:marTop w:val="0"/>
      <w:marBottom w:val="0"/>
      <w:divBdr>
        <w:top w:val="none" w:sz="0" w:space="0" w:color="auto"/>
        <w:left w:val="none" w:sz="0" w:space="0" w:color="auto"/>
        <w:bottom w:val="none" w:sz="0" w:space="0" w:color="auto"/>
        <w:right w:val="none" w:sz="0" w:space="0" w:color="auto"/>
      </w:divBdr>
    </w:div>
    <w:div w:id="896428830">
      <w:bodyDiv w:val="1"/>
      <w:marLeft w:val="0"/>
      <w:marRight w:val="0"/>
      <w:marTop w:val="0"/>
      <w:marBottom w:val="0"/>
      <w:divBdr>
        <w:top w:val="none" w:sz="0" w:space="0" w:color="auto"/>
        <w:left w:val="none" w:sz="0" w:space="0" w:color="auto"/>
        <w:bottom w:val="none" w:sz="0" w:space="0" w:color="auto"/>
        <w:right w:val="none" w:sz="0" w:space="0" w:color="auto"/>
      </w:divBdr>
    </w:div>
    <w:div w:id="908615408">
      <w:bodyDiv w:val="1"/>
      <w:marLeft w:val="0"/>
      <w:marRight w:val="0"/>
      <w:marTop w:val="0"/>
      <w:marBottom w:val="0"/>
      <w:divBdr>
        <w:top w:val="none" w:sz="0" w:space="0" w:color="auto"/>
        <w:left w:val="none" w:sz="0" w:space="0" w:color="auto"/>
        <w:bottom w:val="none" w:sz="0" w:space="0" w:color="auto"/>
        <w:right w:val="none" w:sz="0" w:space="0" w:color="auto"/>
      </w:divBdr>
    </w:div>
    <w:div w:id="913710456">
      <w:bodyDiv w:val="1"/>
      <w:marLeft w:val="0"/>
      <w:marRight w:val="0"/>
      <w:marTop w:val="0"/>
      <w:marBottom w:val="0"/>
      <w:divBdr>
        <w:top w:val="none" w:sz="0" w:space="0" w:color="auto"/>
        <w:left w:val="none" w:sz="0" w:space="0" w:color="auto"/>
        <w:bottom w:val="none" w:sz="0" w:space="0" w:color="auto"/>
        <w:right w:val="none" w:sz="0" w:space="0" w:color="auto"/>
      </w:divBdr>
    </w:div>
    <w:div w:id="969629256">
      <w:bodyDiv w:val="1"/>
      <w:marLeft w:val="0"/>
      <w:marRight w:val="0"/>
      <w:marTop w:val="0"/>
      <w:marBottom w:val="0"/>
      <w:divBdr>
        <w:top w:val="none" w:sz="0" w:space="0" w:color="auto"/>
        <w:left w:val="none" w:sz="0" w:space="0" w:color="auto"/>
        <w:bottom w:val="none" w:sz="0" w:space="0" w:color="auto"/>
        <w:right w:val="none" w:sz="0" w:space="0" w:color="auto"/>
      </w:divBdr>
    </w:div>
    <w:div w:id="1046757274">
      <w:bodyDiv w:val="1"/>
      <w:marLeft w:val="0"/>
      <w:marRight w:val="0"/>
      <w:marTop w:val="0"/>
      <w:marBottom w:val="0"/>
      <w:divBdr>
        <w:top w:val="none" w:sz="0" w:space="0" w:color="auto"/>
        <w:left w:val="none" w:sz="0" w:space="0" w:color="auto"/>
        <w:bottom w:val="none" w:sz="0" w:space="0" w:color="auto"/>
        <w:right w:val="none" w:sz="0" w:space="0" w:color="auto"/>
      </w:divBdr>
      <w:divsChild>
        <w:div w:id="2055306097">
          <w:marLeft w:val="763"/>
          <w:marRight w:val="259"/>
          <w:marTop w:val="19"/>
          <w:marBottom w:val="0"/>
          <w:divBdr>
            <w:top w:val="none" w:sz="0" w:space="0" w:color="auto"/>
            <w:left w:val="none" w:sz="0" w:space="0" w:color="auto"/>
            <w:bottom w:val="none" w:sz="0" w:space="0" w:color="auto"/>
            <w:right w:val="none" w:sz="0" w:space="0" w:color="auto"/>
          </w:divBdr>
        </w:div>
      </w:divsChild>
    </w:div>
    <w:div w:id="1050153751">
      <w:bodyDiv w:val="1"/>
      <w:marLeft w:val="0"/>
      <w:marRight w:val="0"/>
      <w:marTop w:val="0"/>
      <w:marBottom w:val="0"/>
      <w:divBdr>
        <w:top w:val="none" w:sz="0" w:space="0" w:color="auto"/>
        <w:left w:val="none" w:sz="0" w:space="0" w:color="auto"/>
        <w:bottom w:val="none" w:sz="0" w:space="0" w:color="auto"/>
        <w:right w:val="none" w:sz="0" w:space="0" w:color="auto"/>
      </w:divBdr>
    </w:div>
    <w:div w:id="1063681266">
      <w:bodyDiv w:val="1"/>
      <w:marLeft w:val="0"/>
      <w:marRight w:val="0"/>
      <w:marTop w:val="0"/>
      <w:marBottom w:val="0"/>
      <w:divBdr>
        <w:top w:val="none" w:sz="0" w:space="0" w:color="auto"/>
        <w:left w:val="none" w:sz="0" w:space="0" w:color="auto"/>
        <w:bottom w:val="none" w:sz="0" w:space="0" w:color="auto"/>
        <w:right w:val="none" w:sz="0" w:space="0" w:color="auto"/>
      </w:divBdr>
    </w:div>
    <w:div w:id="1076972535">
      <w:bodyDiv w:val="1"/>
      <w:marLeft w:val="0"/>
      <w:marRight w:val="0"/>
      <w:marTop w:val="0"/>
      <w:marBottom w:val="0"/>
      <w:divBdr>
        <w:top w:val="none" w:sz="0" w:space="0" w:color="auto"/>
        <w:left w:val="none" w:sz="0" w:space="0" w:color="auto"/>
        <w:bottom w:val="none" w:sz="0" w:space="0" w:color="auto"/>
        <w:right w:val="none" w:sz="0" w:space="0" w:color="auto"/>
      </w:divBdr>
    </w:div>
    <w:div w:id="1077288968">
      <w:bodyDiv w:val="1"/>
      <w:marLeft w:val="0"/>
      <w:marRight w:val="0"/>
      <w:marTop w:val="0"/>
      <w:marBottom w:val="0"/>
      <w:divBdr>
        <w:top w:val="none" w:sz="0" w:space="0" w:color="auto"/>
        <w:left w:val="none" w:sz="0" w:space="0" w:color="auto"/>
        <w:bottom w:val="none" w:sz="0" w:space="0" w:color="auto"/>
        <w:right w:val="none" w:sz="0" w:space="0" w:color="auto"/>
      </w:divBdr>
    </w:div>
    <w:div w:id="1165627045">
      <w:bodyDiv w:val="1"/>
      <w:marLeft w:val="0"/>
      <w:marRight w:val="0"/>
      <w:marTop w:val="0"/>
      <w:marBottom w:val="0"/>
      <w:divBdr>
        <w:top w:val="none" w:sz="0" w:space="0" w:color="auto"/>
        <w:left w:val="none" w:sz="0" w:space="0" w:color="auto"/>
        <w:bottom w:val="none" w:sz="0" w:space="0" w:color="auto"/>
        <w:right w:val="none" w:sz="0" w:space="0" w:color="auto"/>
      </w:divBdr>
    </w:div>
    <w:div w:id="1179201541">
      <w:bodyDiv w:val="1"/>
      <w:marLeft w:val="0"/>
      <w:marRight w:val="0"/>
      <w:marTop w:val="0"/>
      <w:marBottom w:val="0"/>
      <w:divBdr>
        <w:top w:val="none" w:sz="0" w:space="0" w:color="auto"/>
        <w:left w:val="none" w:sz="0" w:space="0" w:color="auto"/>
        <w:bottom w:val="none" w:sz="0" w:space="0" w:color="auto"/>
        <w:right w:val="none" w:sz="0" w:space="0" w:color="auto"/>
      </w:divBdr>
    </w:div>
    <w:div w:id="1320891202">
      <w:bodyDiv w:val="1"/>
      <w:marLeft w:val="0"/>
      <w:marRight w:val="0"/>
      <w:marTop w:val="0"/>
      <w:marBottom w:val="0"/>
      <w:divBdr>
        <w:top w:val="none" w:sz="0" w:space="0" w:color="auto"/>
        <w:left w:val="none" w:sz="0" w:space="0" w:color="auto"/>
        <w:bottom w:val="none" w:sz="0" w:space="0" w:color="auto"/>
        <w:right w:val="none" w:sz="0" w:space="0" w:color="auto"/>
      </w:divBdr>
    </w:div>
    <w:div w:id="1321419612">
      <w:bodyDiv w:val="1"/>
      <w:marLeft w:val="0"/>
      <w:marRight w:val="0"/>
      <w:marTop w:val="0"/>
      <w:marBottom w:val="0"/>
      <w:divBdr>
        <w:top w:val="none" w:sz="0" w:space="0" w:color="auto"/>
        <w:left w:val="none" w:sz="0" w:space="0" w:color="auto"/>
        <w:bottom w:val="none" w:sz="0" w:space="0" w:color="auto"/>
        <w:right w:val="none" w:sz="0" w:space="0" w:color="auto"/>
      </w:divBdr>
    </w:div>
    <w:div w:id="1328245417">
      <w:bodyDiv w:val="1"/>
      <w:marLeft w:val="0"/>
      <w:marRight w:val="0"/>
      <w:marTop w:val="0"/>
      <w:marBottom w:val="0"/>
      <w:divBdr>
        <w:top w:val="none" w:sz="0" w:space="0" w:color="auto"/>
        <w:left w:val="none" w:sz="0" w:space="0" w:color="auto"/>
        <w:bottom w:val="none" w:sz="0" w:space="0" w:color="auto"/>
        <w:right w:val="none" w:sz="0" w:space="0" w:color="auto"/>
      </w:divBdr>
    </w:div>
    <w:div w:id="1584804496">
      <w:bodyDiv w:val="1"/>
      <w:marLeft w:val="0"/>
      <w:marRight w:val="0"/>
      <w:marTop w:val="0"/>
      <w:marBottom w:val="0"/>
      <w:divBdr>
        <w:top w:val="none" w:sz="0" w:space="0" w:color="auto"/>
        <w:left w:val="none" w:sz="0" w:space="0" w:color="auto"/>
        <w:bottom w:val="none" w:sz="0" w:space="0" w:color="auto"/>
        <w:right w:val="none" w:sz="0" w:space="0" w:color="auto"/>
      </w:divBdr>
    </w:div>
    <w:div w:id="1633829202">
      <w:bodyDiv w:val="1"/>
      <w:marLeft w:val="0"/>
      <w:marRight w:val="0"/>
      <w:marTop w:val="0"/>
      <w:marBottom w:val="0"/>
      <w:divBdr>
        <w:top w:val="none" w:sz="0" w:space="0" w:color="auto"/>
        <w:left w:val="none" w:sz="0" w:space="0" w:color="auto"/>
        <w:bottom w:val="none" w:sz="0" w:space="0" w:color="auto"/>
        <w:right w:val="none" w:sz="0" w:space="0" w:color="auto"/>
      </w:divBdr>
    </w:div>
    <w:div w:id="1636837767">
      <w:bodyDiv w:val="1"/>
      <w:marLeft w:val="0"/>
      <w:marRight w:val="0"/>
      <w:marTop w:val="0"/>
      <w:marBottom w:val="0"/>
      <w:divBdr>
        <w:top w:val="none" w:sz="0" w:space="0" w:color="auto"/>
        <w:left w:val="none" w:sz="0" w:space="0" w:color="auto"/>
        <w:bottom w:val="none" w:sz="0" w:space="0" w:color="auto"/>
        <w:right w:val="none" w:sz="0" w:space="0" w:color="auto"/>
      </w:divBdr>
    </w:div>
    <w:div w:id="1703824704">
      <w:bodyDiv w:val="1"/>
      <w:marLeft w:val="0"/>
      <w:marRight w:val="0"/>
      <w:marTop w:val="0"/>
      <w:marBottom w:val="0"/>
      <w:divBdr>
        <w:top w:val="none" w:sz="0" w:space="0" w:color="auto"/>
        <w:left w:val="none" w:sz="0" w:space="0" w:color="auto"/>
        <w:bottom w:val="none" w:sz="0" w:space="0" w:color="auto"/>
        <w:right w:val="none" w:sz="0" w:space="0" w:color="auto"/>
      </w:divBdr>
    </w:div>
    <w:div w:id="1737044718">
      <w:bodyDiv w:val="1"/>
      <w:marLeft w:val="0"/>
      <w:marRight w:val="0"/>
      <w:marTop w:val="0"/>
      <w:marBottom w:val="0"/>
      <w:divBdr>
        <w:top w:val="none" w:sz="0" w:space="0" w:color="auto"/>
        <w:left w:val="none" w:sz="0" w:space="0" w:color="auto"/>
        <w:bottom w:val="none" w:sz="0" w:space="0" w:color="auto"/>
        <w:right w:val="none" w:sz="0" w:space="0" w:color="auto"/>
      </w:divBdr>
    </w:div>
    <w:div w:id="1750929994">
      <w:bodyDiv w:val="1"/>
      <w:marLeft w:val="0"/>
      <w:marRight w:val="0"/>
      <w:marTop w:val="0"/>
      <w:marBottom w:val="0"/>
      <w:divBdr>
        <w:top w:val="none" w:sz="0" w:space="0" w:color="auto"/>
        <w:left w:val="none" w:sz="0" w:space="0" w:color="auto"/>
        <w:bottom w:val="none" w:sz="0" w:space="0" w:color="auto"/>
        <w:right w:val="none" w:sz="0" w:space="0" w:color="auto"/>
      </w:divBdr>
    </w:div>
    <w:div w:id="1811941642">
      <w:bodyDiv w:val="1"/>
      <w:marLeft w:val="0"/>
      <w:marRight w:val="0"/>
      <w:marTop w:val="0"/>
      <w:marBottom w:val="0"/>
      <w:divBdr>
        <w:top w:val="none" w:sz="0" w:space="0" w:color="auto"/>
        <w:left w:val="none" w:sz="0" w:space="0" w:color="auto"/>
        <w:bottom w:val="none" w:sz="0" w:space="0" w:color="auto"/>
        <w:right w:val="none" w:sz="0" w:space="0" w:color="auto"/>
      </w:divBdr>
    </w:div>
    <w:div w:id="1852646218">
      <w:bodyDiv w:val="1"/>
      <w:marLeft w:val="0"/>
      <w:marRight w:val="0"/>
      <w:marTop w:val="0"/>
      <w:marBottom w:val="0"/>
      <w:divBdr>
        <w:top w:val="none" w:sz="0" w:space="0" w:color="auto"/>
        <w:left w:val="none" w:sz="0" w:space="0" w:color="auto"/>
        <w:bottom w:val="none" w:sz="0" w:space="0" w:color="auto"/>
        <w:right w:val="none" w:sz="0" w:space="0" w:color="auto"/>
      </w:divBdr>
    </w:div>
    <w:div w:id="1887183109">
      <w:bodyDiv w:val="1"/>
      <w:marLeft w:val="0"/>
      <w:marRight w:val="0"/>
      <w:marTop w:val="0"/>
      <w:marBottom w:val="0"/>
      <w:divBdr>
        <w:top w:val="none" w:sz="0" w:space="0" w:color="auto"/>
        <w:left w:val="none" w:sz="0" w:space="0" w:color="auto"/>
        <w:bottom w:val="none" w:sz="0" w:space="0" w:color="auto"/>
        <w:right w:val="none" w:sz="0" w:space="0" w:color="auto"/>
      </w:divBdr>
    </w:div>
    <w:div w:id="1912813020">
      <w:bodyDiv w:val="1"/>
      <w:marLeft w:val="0"/>
      <w:marRight w:val="0"/>
      <w:marTop w:val="0"/>
      <w:marBottom w:val="0"/>
      <w:divBdr>
        <w:top w:val="none" w:sz="0" w:space="0" w:color="auto"/>
        <w:left w:val="none" w:sz="0" w:space="0" w:color="auto"/>
        <w:bottom w:val="none" w:sz="0" w:space="0" w:color="auto"/>
        <w:right w:val="none" w:sz="0" w:space="0" w:color="auto"/>
      </w:divBdr>
    </w:div>
    <w:div w:id="1956673745">
      <w:bodyDiv w:val="1"/>
      <w:marLeft w:val="0"/>
      <w:marRight w:val="0"/>
      <w:marTop w:val="0"/>
      <w:marBottom w:val="0"/>
      <w:divBdr>
        <w:top w:val="none" w:sz="0" w:space="0" w:color="auto"/>
        <w:left w:val="none" w:sz="0" w:space="0" w:color="auto"/>
        <w:bottom w:val="none" w:sz="0" w:space="0" w:color="auto"/>
        <w:right w:val="none" w:sz="0" w:space="0" w:color="auto"/>
      </w:divBdr>
    </w:div>
    <w:div w:id="1970044631">
      <w:bodyDiv w:val="1"/>
      <w:marLeft w:val="0"/>
      <w:marRight w:val="0"/>
      <w:marTop w:val="0"/>
      <w:marBottom w:val="0"/>
      <w:divBdr>
        <w:top w:val="none" w:sz="0" w:space="0" w:color="auto"/>
        <w:left w:val="none" w:sz="0" w:space="0" w:color="auto"/>
        <w:bottom w:val="none" w:sz="0" w:space="0" w:color="auto"/>
        <w:right w:val="none" w:sz="0" w:space="0" w:color="auto"/>
      </w:divBdr>
      <w:divsChild>
        <w:div w:id="406465619">
          <w:marLeft w:val="763"/>
          <w:marRight w:val="14"/>
          <w:marTop w:val="0"/>
          <w:marBottom w:val="0"/>
          <w:divBdr>
            <w:top w:val="none" w:sz="0" w:space="0" w:color="auto"/>
            <w:left w:val="none" w:sz="0" w:space="0" w:color="auto"/>
            <w:bottom w:val="none" w:sz="0" w:space="0" w:color="auto"/>
            <w:right w:val="none" w:sz="0" w:space="0" w:color="auto"/>
          </w:divBdr>
        </w:div>
      </w:divsChild>
    </w:div>
    <w:div w:id="1987855663">
      <w:bodyDiv w:val="1"/>
      <w:marLeft w:val="0"/>
      <w:marRight w:val="0"/>
      <w:marTop w:val="0"/>
      <w:marBottom w:val="0"/>
      <w:divBdr>
        <w:top w:val="none" w:sz="0" w:space="0" w:color="auto"/>
        <w:left w:val="none" w:sz="0" w:space="0" w:color="auto"/>
        <w:bottom w:val="none" w:sz="0" w:space="0" w:color="auto"/>
        <w:right w:val="none" w:sz="0" w:space="0" w:color="auto"/>
      </w:divBdr>
    </w:div>
    <w:div w:id="2018344824">
      <w:bodyDiv w:val="1"/>
      <w:marLeft w:val="0"/>
      <w:marRight w:val="0"/>
      <w:marTop w:val="0"/>
      <w:marBottom w:val="0"/>
      <w:divBdr>
        <w:top w:val="none" w:sz="0" w:space="0" w:color="auto"/>
        <w:left w:val="none" w:sz="0" w:space="0" w:color="auto"/>
        <w:bottom w:val="none" w:sz="0" w:space="0" w:color="auto"/>
        <w:right w:val="none" w:sz="0" w:space="0" w:color="auto"/>
      </w:divBdr>
    </w:div>
    <w:div w:id="2046326164">
      <w:bodyDiv w:val="1"/>
      <w:marLeft w:val="0"/>
      <w:marRight w:val="0"/>
      <w:marTop w:val="0"/>
      <w:marBottom w:val="0"/>
      <w:divBdr>
        <w:top w:val="none" w:sz="0" w:space="0" w:color="auto"/>
        <w:left w:val="none" w:sz="0" w:space="0" w:color="auto"/>
        <w:bottom w:val="none" w:sz="0" w:space="0" w:color="auto"/>
        <w:right w:val="none" w:sz="0" w:space="0" w:color="auto"/>
      </w:divBdr>
    </w:div>
    <w:div w:id="2046900384">
      <w:bodyDiv w:val="1"/>
      <w:marLeft w:val="0"/>
      <w:marRight w:val="0"/>
      <w:marTop w:val="0"/>
      <w:marBottom w:val="0"/>
      <w:divBdr>
        <w:top w:val="none" w:sz="0" w:space="0" w:color="auto"/>
        <w:left w:val="none" w:sz="0" w:space="0" w:color="auto"/>
        <w:bottom w:val="none" w:sz="0" w:space="0" w:color="auto"/>
        <w:right w:val="none" w:sz="0" w:space="0" w:color="auto"/>
      </w:divBdr>
    </w:div>
    <w:div w:id="2047216230">
      <w:bodyDiv w:val="1"/>
      <w:marLeft w:val="0"/>
      <w:marRight w:val="0"/>
      <w:marTop w:val="0"/>
      <w:marBottom w:val="0"/>
      <w:divBdr>
        <w:top w:val="none" w:sz="0" w:space="0" w:color="auto"/>
        <w:left w:val="none" w:sz="0" w:space="0" w:color="auto"/>
        <w:bottom w:val="none" w:sz="0" w:space="0" w:color="auto"/>
        <w:right w:val="none" w:sz="0" w:space="0" w:color="auto"/>
      </w:divBdr>
    </w:div>
    <w:div w:id="210922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E48E56C06B0EB429E4A17A01057BBF2" ma:contentTypeVersion="2" ma:contentTypeDescription="Crear nuevo documento." ma:contentTypeScope="" ma:versionID="ada9b4dc7789058255f4aea5dc5ae8e7">
  <xsd:schema xmlns:xsd="http://www.w3.org/2001/XMLSchema" xmlns:xs="http://www.w3.org/2001/XMLSchema" xmlns:p="http://schemas.microsoft.com/office/2006/metadata/properties" xmlns:ns2="f3a4134e-c591-48dd-b72e-ff00b2a4257e" targetNamespace="http://schemas.microsoft.com/office/2006/metadata/properties" ma:root="true" ma:fieldsID="733f5f89e4836458f77c2927a152525c" ns2:_="">
    <xsd:import namespace="f3a4134e-c591-48dd-b72e-ff00b2a4257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4134e-c591-48dd-b72e-ff00b2a425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07F30-0868-4A83-8056-45F88FF7C83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3a4134e-c591-48dd-b72e-ff00b2a4257e"/>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FA2749B-DD7A-4EC7-B453-D761A0E901B6}">
  <ds:schemaRefs>
    <ds:schemaRef ds:uri="http://schemas.microsoft.com/sharepoint/v3/contenttype/forms"/>
  </ds:schemaRefs>
</ds:datastoreItem>
</file>

<file path=customXml/itemProps3.xml><?xml version="1.0" encoding="utf-8"?>
<ds:datastoreItem xmlns:ds="http://schemas.openxmlformats.org/officeDocument/2006/customXml" ds:itemID="{B3C7E0DF-19B4-47B7-8E54-9A90BA88E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4134e-c591-48dd-b72e-ff00b2a42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96925B-B234-47C9-A5DD-A253DC482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5582</Words>
  <Characters>30701</Characters>
  <Application>Microsoft Office Word</Application>
  <DocSecurity>4</DocSecurity>
  <Lines>255</Lines>
  <Paragraphs>72</Paragraphs>
  <ScaleCrop>false</ScaleCrop>
  <HeadingPairs>
    <vt:vector size="2" baseType="variant">
      <vt:variant>
        <vt:lpstr>Titulua</vt:lpstr>
      </vt:variant>
      <vt:variant>
        <vt:i4>1</vt:i4>
      </vt:variant>
    </vt:vector>
  </HeadingPairs>
  <TitlesOfParts>
    <vt:vector size="1" baseType="lpstr">
      <vt:lpstr>anexos
</vt:lpstr>
    </vt:vector>
  </TitlesOfParts>
  <Company>Neiker</Company>
  <LinksUpToDate>false</LinksUpToDate>
  <CharactersWithSpaces>36211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anexos</dc:title>
  <dc:creator>Olatz Unamunzaga;Ainara Artetxe</dc:creator>
  <cp:lastModifiedBy>Mintegi Elorriaga, Ainhoa</cp:lastModifiedBy>
  <cp:revision>2</cp:revision>
  <cp:lastPrinted>2021-07-08T06:48:00Z</cp:lastPrinted>
  <dcterms:created xsi:type="dcterms:W3CDTF">2021-07-09T08:11:00Z</dcterms:created>
  <dcterms:modified xsi:type="dcterms:W3CDTF">2021-07-09T08:11:00Z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0x0101007E48E56C06B0EB429E4A17A01057BBF2</vt:lpwstr>
  </property>
</Properties>
</file>